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8C26" w14:textId="77777777" w:rsidR="00FB2862" w:rsidRPr="0057573E" w:rsidRDefault="003A7020" w:rsidP="00FB2862">
      <w:pPr>
        <w:jc w:val="center"/>
        <w:rPr>
          <w:rFonts w:cstheme="minorHAnsi"/>
          <w:b/>
          <w:bCs/>
          <w:sz w:val="20"/>
          <w:szCs w:val="20"/>
          <w:u w:val="single"/>
        </w:rPr>
      </w:pPr>
      <w:r w:rsidRPr="0057573E">
        <w:rPr>
          <w:rFonts w:cstheme="minorHAnsi"/>
          <w:b/>
          <w:bCs/>
          <w:sz w:val="20"/>
          <w:szCs w:val="20"/>
          <w:u w:val="single"/>
        </w:rPr>
        <w:t>Questions</w:t>
      </w:r>
      <w:r w:rsidR="00FB2862" w:rsidRPr="0057573E">
        <w:rPr>
          <w:rFonts w:cstheme="minorHAnsi"/>
          <w:b/>
          <w:bCs/>
          <w:sz w:val="20"/>
          <w:szCs w:val="20"/>
          <w:u w:val="single"/>
        </w:rPr>
        <w:t xml:space="preserve"> &amp; Answers</w:t>
      </w:r>
    </w:p>
    <w:p w14:paraId="7225405E" w14:textId="4271B271" w:rsidR="00FB2862" w:rsidRPr="0057573E" w:rsidRDefault="00FB2862" w:rsidP="003A7020">
      <w:pPr>
        <w:rPr>
          <w:rFonts w:cstheme="minorHAnsi"/>
          <w:b/>
          <w:bCs/>
          <w:sz w:val="20"/>
          <w:szCs w:val="20"/>
        </w:rPr>
      </w:pPr>
      <w:r w:rsidRPr="0057573E">
        <w:rPr>
          <w:rFonts w:cstheme="minorHAnsi"/>
          <w:b/>
          <w:bCs/>
          <w:sz w:val="20"/>
          <w:szCs w:val="20"/>
        </w:rPr>
        <w:t>Date: August 11, 2023</w:t>
      </w:r>
      <w:r w:rsidR="003A7020" w:rsidRPr="0057573E">
        <w:rPr>
          <w:rFonts w:cstheme="minorHAnsi"/>
          <w:b/>
          <w:bCs/>
          <w:sz w:val="20"/>
          <w:szCs w:val="20"/>
        </w:rPr>
        <w:t xml:space="preserve"> </w:t>
      </w:r>
    </w:p>
    <w:p w14:paraId="7AF0A968" w14:textId="132ECA27" w:rsidR="003A7020" w:rsidRPr="0057573E" w:rsidRDefault="00FB2862" w:rsidP="003A7020">
      <w:pPr>
        <w:rPr>
          <w:rFonts w:cstheme="minorHAnsi"/>
          <w:b/>
          <w:bCs/>
          <w:sz w:val="20"/>
          <w:szCs w:val="20"/>
        </w:rPr>
      </w:pPr>
      <w:r w:rsidRPr="0057573E">
        <w:rPr>
          <w:rFonts w:cstheme="minorHAnsi"/>
          <w:b/>
          <w:bCs/>
          <w:sz w:val="20"/>
          <w:szCs w:val="20"/>
        </w:rPr>
        <w:t>Reference Request for Proposal Number:</w:t>
      </w:r>
      <w:r w:rsidR="003A7020" w:rsidRPr="0057573E">
        <w:rPr>
          <w:rFonts w:cstheme="minorHAnsi"/>
          <w:b/>
          <w:bCs/>
          <w:sz w:val="20"/>
          <w:szCs w:val="20"/>
        </w:rPr>
        <w:t xml:space="preserve"> RFP-CATALYZE-Edu-2023-0011</w:t>
      </w:r>
    </w:p>
    <w:p w14:paraId="7D9FEEFE" w14:textId="77777777" w:rsidR="003A7020" w:rsidRPr="0057573E" w:rsidRDefault="003A7020" w:rsidP="003A7020">
      <w:pPr>
        <w:rPr>
          <w:rFonts w:cstheme="minorHAnsi"/>
          <w:sz w:val="20"/>
          <w:szCs w:val="20"/>
        </w:rPr>
      </w:pPr>
    </w:p>
    <w:p w14:paraId="7BA07BFC" w14:textId="26A0F6E6" w:rsidR="003A7020" w:rsidRPr="0057573E" w:rsidRDefault="003A7020" w:rsidP="003A7020">
      <w:pPr>
        <w:rPr>
          <w:rFonts w:cstheme="minorHAnsi"/>
          <w:sz w:val="20"/>
          <w:szCs w:val="20"/>
        </w:rPr>
      </w:pPr>
      <w:r w:rsidRPr="0057573E">
        <w:rPr>
          <w:rFonts w:cstheme="minorHAnsi"/>
          <w:sz w:val="20"/>
          <w:szCs w:val="20"/>
        </w:rPr>
        <w:t xml:space="preserve">Dear </w:t>
      </w:r>
      <w:r w:rsidR="00FB2862" w:rsidRPr="0057573E">
        <w:rPr>
          <w:rFonts w:cstheme="minorHAnsi"/>
          <w:sz w:val="20"/>
          <w:szCs w:val="20"/>
        </w:rPr>
        <w:t>Offerors,</w:t>
      </w:r>
    </w:p>
    <w:p w14:paraId="34B64E59" w14:textId="77777777" w:rsidR="00FB2862" w:rsidRPr="0057573E" w:rsidRDefault="00FB2862" w:rsidP="003A7020">
      <w:pPr>
        <w:rPr>
          <w:rFonts w:cstheme="minorHAnsi"/>
          <w:sz w:val="20"/>
          <w:szCs w:val="20"/>
        </w:rPr>
      </w:pPr>
    </w:p>
    <w:p w14:paraId="0239A5A1" w14:textId="4BD7CC99" w:rsidR="00FB2862" w:rsidRPr="0057573E" w:rsidRDefault="00FB2862" w:rsidP="003A7020">
      <w:pPr>
        <w:rPr>
          <w:rFonts w:cstheme="minorHAnsi"/>
          <w:sz w:val="20"/>
          <w:szCs w:val="20"/>
        </w:rPr>
      </w:pPr>
      <w:r w:rsidRPr="0057573E">
        <w:rPr>
          <w:rFonts w:cstheme="minorHAnsi"/>
          <w:sz w:val="20"/>
          <w:szCs w:val="20"/>
        </w:rPr>
        <w:t xml:space="preserve">Please see below the answers to the questions submitted to </w:t>
      </w:r>
      <w:hyperlink r:id="rId11" w:history="1">
        <w:r w:rsidRPr="0057573E">
          <w:rPr>
            <w:rStyle w:val="Hyperlink"/>
            <w:rFonts w:cstheme="minorHAnsi"/>
            <w:sz w:val="20"/>
            <w:szCs w:val="20"/>
          </w:rPr>
          <w:t>catalyze.procurements@thepalladiumgroup.com</w:t>
        </w:r>
      </w:hyperlink>
    </w:p>
    <w:p w14:paraId="23028A29" w14:textId="77777777" w:rsidR="00FB2862" w:rsidRPr="0057573E" w:rsidRDefault="00FB2862" w:rsidP="003A7020">
      <w:pPr>
        <w:rPr>
          <w:rFonts w:cstheme="minorHAnsi"/>
          <w:sz w:val="20"/>
          <w:szCs w:val="20"/>
        </w:rPr>
      </w:pPr>
    </w:p>
    <w:tbl>
      <w:tblPr>
        <w:tblStyle w:val="TableGrid"/>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608"/>
        <w:gridCol w:w="4608"/>
      </w:tblGrid>
      <w:tr w:rsidR="00FB2862" w:rsidRPr="0057573E" w14:paraId="7887E9D7" w14:textId="77777777" w:rsidTr="00C139F7">
        <w:trPr>
          <w:cnfStyle w:val="100000000000" w:firstRow="1" w:lastRow="0" w:firstColumn="0" w:lastColumn="0" w:oddVBand="0" w:evenVBand="0" w:oddHBand="0" w:evenHBand="0" w:firstRowFirstColumn="0" w:firstRowLastColumn="0" w:lastRowFirstColumn="0" w:lastRowLastColumn="0"/>
        </w:trPr>
        <w:tc>
          <w:tcPr>
            <w:tcW w:w="494" w:type="dxa"/>
          </w:tcPr>
          <w:p w14:paraId="7B026184" w14:textId="58BD8C0F" w:rsidR="00FB2862" w:rsidRPr="0057573E" w:rsidRDefault="00FB2862" w:rsidP="003A7020">
            <w:pPr>
              <w:rPr>
                <w:rFonts w:cstheme="minorHAnsi"/>
                <w:sz w:val="20"/>
                <w:szCs w:val="20"/>
              </w:rPr>
            </w:pPr>
            <w:r w:rsidRPr="0057573E">
              <w:rPr>
                <w:rFonts w:cstheme="minorHAnsi"/>
                <w:sz w:val="20"/>
                <w:szCs w:val="20"/>
              </w:rPr>
              <w:t>No.</w:t>
            </w:r>
          </w:p>
        </w:tc>
        <w:tc>
          <w:tcPr>
            <w:tcW w:w="4608" w:type="dxa"/>
          </w:tcPr>
          <w:p w14:paraId="25640FA6" w14:textId="4196151E" w:rsidR="00FB2862" w:rsidRPr="0057573E" w:rsidRDefault="00FB2862" w:rsidP="003A7020">
            <w:pPr>
              <w:rPr>
                <w:rFonts w:cstheme="minorHAnsi"/>
                <w:sz w:val="20"/>
                <w:szCs w:val="20"/>
              </w:rPr>
            </w:pPr>
            <w:r w:rsidRPr="0057573E">
              <w:rPr>
                <w:rFonts w:cstheme="minorHAnsi"/>
                <w:sz w:val="20"/>
                <w:szCs w:val="20"/>
              </w:rPr>
              <w:t>Question</w:t>
            </w:r>
          </w:p>
        </w:tc>
        <w:tc>
          <w:tcPr>
            <w:tcW w:w="4608" w:type="dxa"/>
          </w:tcPr>
          <w:p w14:paraId="0AB90F2D" w14:textId="7ECA322F" w:rsidR="00FB2862" w:rsidRPr="0057573E" w:rsidRDefault="00FB2862" w:rsidP="003A7020">
            <w:pPr>
              <w:rPr>
                <w:rFonts w:cstheme="minorHAnsi"/>
                <w:sz w:val="20"/>
                <w:szCs w:val="20"/>
              </w:rPr>
            </w:pPr>
            <w:r w:rsidRPr="0057573E">
              <w:rPr>
                <w:rFonts w:cstheme="minorHAnsi"/>
                <w:sz w:val="20"/>
                <w:szCs w:val="20"/>
              </w:rPr>
              <w:t>Answer</w:t>
            </w:r>
          </w:p>
        </w:tc>
      </w:tr>
      <w:tr w:rsidR="0057573E" w:rsidRPr="0057573E" w14:paraId="2A95CB93" w14:textId="77777777" w:rsidTr="00C139F7">
        <w:tc>
          <w:tcPr>
            <w:tcW w:w="494" w:type="dxa"/>
          </w:tcPr>
          <w:p w14:paraId="1122DBAA" w14:textId="0566BF30" w:rsidR="00FB2862" w:rsidRPr="0057573E" w:rsidRDefault="00FB2862" w:rsidP="003A7020">
            <w:pPr>
              <w:rPr>
                <w:rFonts w:cstheme="minorHAnsi"/>
                <w:sz w:val="20"/>
                <w:szCs w:val="20"/>
              </w:rPr>
            </w:pPr>
            <w:r w:rsidRPr="0057573E">
              <w:rPr>
                <w:rFonts w:cstheme="minorHAnsi"/>
                <w:sz w:val="20"/>
                <w:szCs w:val="20"/>
              </w:rPr>
              <w:t>1</w:t>
            </w:r>
          </w:p>
        </w:tc>
        <w:tc>
          <w:tcPr>
            <w:tcW w:w="4608" w:type="dxa"/>
          </w:tcPr>
          <w:p w14:paraId="0151B44C" w14:textId="268DE244" w:rsidR="00FB2862" w:rsidRPr="0057573E" w:rsidRDefault="00FB2862" w:rsidP="003A7020">
            <w:pPr>
              <w:rPr>
                <w:rFonts w:cstheme="minorHAnsi"/>
                <w:sz w:val="20"/>
                <w:szCs w:val="20"/>
              </w:rPr>
            </w:pPr>
            <w:r w:rsidRPr="0057573E">
              <w:rPr>
                <w:rFonts w:cstheme="minorHAnsi"/>
                <w:sz w:val="20"/>
                <w:szCs w:val="20"/>
              </w:rPr>
              <w:t>The statement “the subcontractor will submit... any other pre-agreed results determined during the contracting period” implies that additional results could be added beyond those outlined in the RFP and submitted in the offeror’s proposal. Can Palladium please explain how under a pay-for-results mechanism the Subcontractor will be paid for additional results in addition to those agreed in the subcontract?</w:t>
            </w:r>
          </w:p>
        </w:tc>
        <w:tc>
          <w:tcPr>
            <w:tcW w:w="4608" w:type="dxa"/>
          </w:tcPr>
          <w:p w14:paraId="367E692E" w14:textId="4D9CC806" w:rsidR="00FB2862" w:rsidRPr="0057573E" w:rsidRDefault="00FB2862" w:rsidP="003A7020">
            <w:pPr>
              <w:rPr>
                <w:sz w:val="20"/>
                <w:szCs w:val="20"/>
              </w:rPr>
            </w:pPr>
            <w:r w:rsidRPr="3D4DCA41">
              <w:rPr>
                <w:sz w:val="20"/>
                <w:szCs w:val="20"/>
              </w:rPr>
              <w:t xml:space="preserve">The subcontractor will be paid for the results agreed to in the subcontract. The results will be </w:t>
            </w:r>
            <w:r w:rsidR="00E20009" w:rsidRPr="3D4DCA41">
              <w:rPr>
                <w:sz w:val="20"/>
                <w:szCs w:val="20"/>
              </w:rPr>
              <w:t>agreed-to</w:t>
            </w:r>
            <w:r w:rsidRPr="3D4DCA41">
              <w:rPr>
                <w:sz w:val="20"/>
                <w:szCs w:val="20"/>
              </w:rPr>
              <w:t xml:space="preserve"> after award and before a subcontract is signed and may </w:t>
            </w:r>
            <w:r w:rsidR="20DA4791" w:rsidRPr="3D4DCA41">
              <w:rPr>
                <w:sz w:val="20"/>
                <w:szCs w:val="20"/>
              </w:rPr>
              <w:t>include</w:t>
            </w:r>
            <w:r w:rsidRPr="3D4DCA41">
              <w:rPr>
                <w:sz w:val="20"/>
                <w:szCs w:val="20"/>
              </w:rPr>
              <w:t xml:space="preserve"> addition</w:t>
            </w:r>
            <w:r w:rsidR="4801A479" w:rsidRPr="3D4DCA41">
              <w:rPr>
                <w:sz w:val="20"/>
                <w:szCs w:val="20"/>
              </w:rPr>
              <w:t>al indicators</w:t>
            </w:r>
            <w:r w:rsidRPr="3D4DCA41">
              <w:rPr>
                <w:sz w:val="20"/>
                <w:szCs w:val="20"/>
              </w:rPr>
              <w:t xml:space="preserve"> to the examples listed in the RFP</w:t>
            </w:r>
            <w:r w:rsidR="4A97F147" w:rsidRPr="3D4DCA41">
              <w:rPr>
                <w:sz w:val="20"/>
                <w:szCs w:val="20"/>
              </w:rPr>
              <w:t xml:space="preserve"> (</w:t>
            </w:r>
            <w:r w:rsidRPr="3D4DCA41">
              <w:rPr>
                <w:sz w:val="20"/>
                <w:szCs w:val="20"/>
              </w:rPr>
              <w:t xml:space="preserve">namely capital </w:t>
            </w:r>
            <w:r w:rsidR="00B42BA4" w:rsidRPr="3D4DCA41">
              <w:rPr>
                <w:sz w:val="20"/>
                <w:szCs w:val="20"/>
              </w:rPr>
              <w:t>mobilized, schools</w:t>
            </w:r>
            <w:r w:rsidR="00C139F7" w:rsidRPr="3D4DCA41">
              <w:rPr>
                <w:sz w:val="20"/>
                <w:szCs w:val="20"/>
              </w:rPr>
              <w:t xml:space="preserve"> and learners supported</w:t>
            </w:r>
            <w:r w:rsidR="25C6496A" w:rsidRPr="3D4DCA41">
              <w:rPr>
                <w:sz w:val="20"/>
                <w:szCs w:val="20"/>
              </w:rPr>
              <w:t>, and improvements in learning outcomes)</w:t>
            </w:r>
            <w:r w:rsidR="00C139F7" w:rsidRPr="3D4DCA41">
              <w:rPr>
                <w:sz w:val="20"/>
                <w:szCs w:val="20"/>
              </w:rPr>
              <w:t>.</w:t>
            </w:r>
            <w:r w:rsidR="25C6496A" w:rsidRPr="3D4DCA41">
              <w:rPr>
                <w:sz w:val="20"/>
                <w:szCs w:val="20"/>
              </w:rPr>
              <w:t xml:space="preserve"> However, these are the key expected results and we do not anticipate any major changes </w:t>
            </w:r>
            <w:proofErr w:type="gramStart"/>
            <w:r w:rsidR="25C6496A" w:rsidRPr="3D4DCA41">
              <w:rPr>
                <w:sz w:val="20"/>
                <w:szCs w:val="20"/>
              </w:rPr>
              <w:t>at this time</w:t>
            </w:r>
            <w:proofErr w:type="gramEnd"/>
            <w:r w:rsidR="25C6496A" w:rsidRPr="3D4DCA41">
              <w:rPr>
                <w:sz w:val="20"/>
                <w:szCs w:val="20"/>
              </w:rPr>
              <w:t xml:space="preserve">.  </w:t>
            </w:r>
          </w:p>
        </w:tc>
      </w:tr>
      <w:tr w:rsidR="00C139F7" w:rsidRPr="0057573E" w14:paraId="52EF88C1" w14:textId="77777777" w:rsidTr="00C139F7">
        <w:trPr>
          <w:cnfStyle w:val="000000010000" w:firstRow="0" w:lastRow="0" w:firstColumn="0" w:lastColumn="0" w:oddVBand="0" w:evenVBand="0" w:oddHBand="0" w:evenHBand="1" w:firstRowFirstColumn="0" w:firstRowLastColumn="0" w:lastRowFirstColumn="0" w:lastRowLastColumn="0"/>
        </w:trPr>
        <w:tc>
          <w:tcPr>
            <w:tcW w:w="494" w:type="dxa"/>
          </w:tcPr>
          <w:p w14:paraId="4FAF9EBE" w14:textId="51C13987" w:rsidR="00FB2862" w:rsidRPr="0057573E" w:rsidRDefault="00FB2862" w:rsidP="003A7020">
            <w:pPr>
              <w:rPr>
                <w:rFonts w:cstheme="minorHAnsi"/>
                <w:sz w:val="20"/>
                <w:szCs w:val="20"/>
              </w:rPr>
            </w:pPr>
            <w:r w:rsidRPr="0057573E">
              <w:rPr>
                <w:rFonts w:cstheme="minorHAnsi"/>
                <w:sz w:val="20"/>
                <w:szCs w:val="20"/>
              </w:rPr>
              <w:t>2</w:t>
            </w:r>
          </w:p>
        </w:tc>
        <w:tc>
          <w:tcPr>
            <w:tcW w:w="4608" w:type="dxa"/>
          </w:tcPr>
          <w:p w14:paraId="1F69BEC9" w14:textId="206F640A" w:rsidR="00FB2862" w:rsidRPr="0057573E" w:rsidRDefault="00C139F7" w:rsidP="003A7020">
            <w:pPr>
              <w:rPr>
                <w:rFonts w:cstheme="minorHAnsi"/>
                <w:sz w:val="20"/>
                <w:szCs w:val="20"/>
              </w:rPr>
            </w:pPr>
            <w:r w:rsidRPr="0057573E">
              <w:rPr>
                <w:rFonts w:cstheme="minorHAnsi"/>
                <w:sz w:val="20"/>
                <w:szCs w:val="20"/>
              </w:rPr>
              <w:t>Can Palladium clarify how offerors should distinguish between “Past Experience Information</w:t>
            </w:r>
            <w:r w:rsidR="00BA5B88" w:rsidRPr="0057573E">
              <w:rPr>
                <w:rFonts w:cstheme="minorHAnsi"/>
                <w:sz w:val="20"/>
                <w:szCs w:val="20"/>
              </w:rPr>
              <w:t>/Capability Statement</w:t>
            </w:r>
            <w:r w:rsidRPr="0057573E">
              <w:rPr>
                <w:rFonts w:cstheme="minorHAnsi"/>
                <w:sz w:val="20"/>
                <w:szCs w:val="20"/>
              </w:rPr>
              <w:t>” and “Description of relevant projects previously performed by the firm”?</w:t>
            </w:r>
          </w:p>
        </w:tc>
        <w:tc>
          <w:tcPr>
            <w:tcW w:w="4608" w:type="dxa"/>
          </w:tcPr>
          <w:p w14:paraId="36C8DDBE" w14:textId="3F79D16D" w:rsidR="00FB2862" w:rsidRPr="0057573E" w:rsidRDefault="00E20009" w:rsidP="003A7020">
            <w:pPr>
              <w:rPr>
                <w:rFonts w:cstheme="minorHAnsi"/>
                <w:sz w:val="20"/>
                <w:szCs w:val="20"/>
              </w:rPr>
            </w:pPr>
            <w:r>
              <w:rPr>
                <w:rFonts w:cstheme="minorHAnsi"/>
                <w:sz w:val="20"/>
                <w:szCs w:val="20"/>
              </w:rPr>
              <w:t>“</w:t>
            </w:r>
            <w:r w:rsidR="00976A62" w:rsidRPr="0057573E">
              <w:rPr>
                <w:rFonts w:cstheme="minorHAnsi"/>
                <w:sz w:val="20"/>
                <w:szCs w:val="20"/>
              </w:rPr>
              <w:t xml:space="preserve">Past Experience Information/Capability </w:t>
            </w:r>
            <w:r>
              <w:rPr>
                <w:rFonts w:cstheme="minorHAnsi"/>
                <w:sz w:val="20"/>
                <w:szCs w:val="20"/>
              </w:rPr>
              <w:t>S</w:t>
            </w:r>
            <w:r w:rsidR="00976A62" w:rsidRPr="0057573E">
              <w:rPr>
                <w:rFonts w:cstheme="minorHAnsi"/>
                <w:sz w:val="20"/>
                <w:szCs w:val="20"/>
              </w:rPr>
              <w:t>tatement</w:t>
            </w:r>
            <w:r>
              <w:rPr>
                <w:rFonts w:cstheme="minorHAnsi"/>
                <w:sz w:val="20"/>
                <w:szCs w:val="20"/>
              </w:rPr>
              <w:t>”</w:t>
            </w:r>
            <w:r w:rsidR="00976A62" w:rsidRPr="0057573E">
              <w:rPr>
                <w:rFonts w:cstheme="minorHAnsi"/>
                <w:sz w:val="20"/>
                <w:szCs w:val="20"/>
              </w:rPr>
              <w:t xml:space="preserve"> should speak to an offeror’s</w:t>
            </w:r>
            <w:r w:rsidR="00931553" w:rsidRPr="0057573E">
              <w:rPr>
                <w:rFonts w:cstheme="minorHAnsi"/>
                <w:sz w:val="20"/>
                <w:szCs w:val="20"/>
              </w:rPr>
              <w:t xml:space="preserve"> general</w:t>
            </w:r>
            <w:r w:rsidR="00976A62" w:rsidRPr="0057573E">
              <w:rPr>
                <w:rFonts w:cstheme="minorHAnsi"/>
                <w:sz w:val="20"/>
                <w:szCs w:val="20"/>
              </w:rPr>
              <w:t xml:space="preserve"> organizational capacity </w:t>
            </w:r>
            <w:r w:rsidR="00931553" w:rsidRPr="0057573E">
              <w:rPr>
                <w:rFonts w:cstheme="minorHAnsi"/>
                <w:sz w:val="20"/>
                <w:szCs w:val="20"/>
              </w:rPr>
              <w:t>to implement a donor funded project. “Description of relevant projects”, meanwhile, should speak specifically and in greater depth to an offeror’s experience on relevant projects</w:t>
            </w:r>
            <w:r w:rsidR="00931553" w:rsidRPr="0057573E">
              <w:rPr>
                <w:rFonts w:cstheme="minorHAnsi"/>
                <w:b/>
                <w:bCs/>
                <w:i/>
                <w:iCs/>
                <w:sz w:val="20"/>
                <w:szCs w:val="20"/>
              </w:rPr>
              <w:t xml:space="preserve"> </w:t>
            </w:r>
            <w:r w:rsidR="00931553" w:rsidRPr="0057573E">
              <w:rPr>
                <w:rFonts w:cstheme="minorHAnsi"/>
                <w:sz w:val="20"/>
                <w:szCs w:val="20"/>
              </w:rPr>
              <w:t>in capital mobilization, sustaining private finance for low-cost private primary schools, and increasing access to quality education.</w:t>
            </w:r>
            <w:r w:rsidR="00931553" w:rsidRPr="0057573E">
              <w:rPr>
                <w:rFonts w:cstheme="minorHAnsi"/>
                <w:b/>
                <w:bCs/>
                <w:i/>
                <w:iCs/>
                <w:sz w:val="20"/>
                <w:szCs w:val="20"/>
              </w:rPr>
              <w:t xml:space="preserve"> </w:t>
            </w:r>
          </w:p>
        </w:tc>
      </w:tr>
      <w:tr w:rsidR="00FB2862" w:rsidRPr="0057573E" w14:paraId="666D3674" w14:textId="77777777" w:rsidTr="00C139F7">
        <w:tc>
          <w:tcPr>
            <w:tcW w:w="494" w:type="dxa"/>
          </w:tcPr>
          <w:p w14:paraId="19BB1AE0" w14:textId="7CC8C682" w:rsidR="00FB2862" w:rsidRPr="0057573E" w:rsidRDefault="00FB2862" w:rsidP="003A7020">
            <w:pPr>
              <w:rPr>
                <w:rFonts w:cstheme="minorHAnsi"/>
                <w:sz w:val="20"/>
                <w:szCs w:val="20"/>
              </w:rPr>
            </w:pPr>
            <w:r w:rsidRPr="0057573E">
              <w:rPr>
                <w:rFonts w:cstheme="minorHAnsi"/>
                <w:sz w:val="20"/>
                <w:szCs w:val="20"/>
              </w:rPr>
              <w:t>3</w:t>
            </w:r>
          </w:p>
        </w:tc>
        <w:tc>
          <w:tcPr>
            <w:tcW w:w="4608" w:type="dxa"/>
          </w:tcPr>
          <w:p w14:paraId="3A02B115" w14:textId="0F15F81D" w:rsidR="00FB2862" w:rsidRPr="0057573E" w:rsidRDefault="00931553" w:rsidP="003A7020">
            <w:pPr>
              <w:rPr>
                <w:rFonts w:cstheme="minorHAnsi"/>
                <w:b/>
                <w:bCs/>
                <w:sz w:val="20"/>
                <w:szCs w:val="20"/>
              </w:rPr>
            </w:pPr>
            <w:r w:rsidRPr="0057573E">
              <w:rPr>
                <w:rFonts w:cstheme="minorHAnsi"/>
                <w:sz w:val="20"/>
                <w:szCs w:val="20"/>
              </w:rPr>
              <w:t>2 pages are assigned to the Body of the Proposal. However, this appears to be a heading, not a proposal section, since “background and relevant expertise” are covered in the subsequent bullet points. Please clarify.</w:t>
            </w:r>
          </w:p>
        </w:tc>
        <w:tc>
          <w:tcPr>
            <w:tcW w:w="4608" w:type="dxa"/>
          </w:tcPr>
          <w:p w14:paraId="145044D4" w14:textId="4670AF05" w:rsidR="00FB2862" w:rsidRPr="0057573E" w:rsidRDefault="00931553" w:rsidP="003A7020">
            <w:pPr>
              <w:rPr>
                <w:rFonts w:cstheme="minorHAnsi"/>
                <w:sz w:val="20"/>
                <w:szCs w:val="20"/>
              </w:rPr>
            </w:pPr>
            <w:r w:rsidRPr="0057573E">
              <w:rPr>
                <w:rFonts w:cstheme="minorHAnsi"/>
                <w:sz w:val="20"/>
                <w:szCs w:val="20"/>
              </w:rPr>
              <w:t>Thanks for noting this. Please disregard the page limit assigned to the body of the proposal; the following bulleted sections should comprise the body of the proposal and those page numbers are included there.</w:t>
            </w:r>
          </w:p>
        </w:tc>
      </w:tr>
      <w:tr w:rsidR="00FB2862" w:rsidRPr="0057573E" w14:paraId="1E2571C8" w14:textId="77777777" w:rsidTr="00C139F7">
        <w:trPr>
          <w:cnfStyle w:val="000000010000" w:firstRow="0" w:lastRow="0" w:firstColumn="0" w:lastColumn="0" w:oddVBand="0" w:evenVBand="0" w:oddHBand="0" w:evenHBand="1" w:firstRowFirstColumn="0" w:firstRowLastColumn="0" w:lastRowFirstColumn="0" w:lastRowLastColumn="0"/>
        </w:trPr>
        <w:tc>
          <w:tcPr>
            <w:tcW w:w="494" w:type="dxa"/>
          </w:tcPr>
          <w:p w14:paraId="3E062E38" w14:textId="3D745A98" w:rsidR="00FB2862" w:rsidRPr="0057573E" w:rsidRDefault="00FB2862" w:rsidP="003A7020">
            <w:pPr>
              <w:rPr>
                <w:rFonts w:cstheme="minorHAnsi"/>
                <w:sz w:val="20"/>
                <w:szCs w:val="20"/>
              </w:rPr>
            </w:pPr>
            <w:r w:rsidRPr="0057573E">
              <w:rPr>
                <w:rFonts w:cstheme="minorHAnsi"/>
                <w:sz w:val="20"/>
                <w:szCs w:val="20"/>
              </w:rPr>
              <w:t>4</w:t>
            </w:r>
          </w:p>
        </w:tc>
        <w:tc>
          <w:tcPr>
            <w:tcW w:w="4608" w:type="dxa"/>
          </w:tcPr>
          <w:p w14:paraId="0E27F8FB" w14:textId="2E9DE24F" w:rsidR="00FB2862" w:rsidRPr="0057573E" w:rsidRDefault="00931553" w:rsidP="003A7020">
            <w:pPr>
              <w:rPr>
                <w:rFonts w:cstheme="minorHAnsi"/>
                <w:sz w:val="20"/>
                <w:szCs w:val="20"/>
              </w:rPr>
            </w:pPr>
            <w:r w:rsidRPr="0057573E">
              <w:rPr>
                <w:rFonts w:cstheme="minorHAnsi"/>
                <w:sz w:val="20"/>
                <w:szCs w:val="20"/>
              </w:rPr>
              <w:t>Please clarify the distinction between the proposal sub-sections “Past Experience Information/Capability Statement (max 2 pages)” and “Description of relevant projects previously performed by the firm (max 4 pages).</w:t>
            </w:r>
          </w:p>
        </w:tc>
        <w:tc>
          <w:tcPr>
            <w:tcW w:w="4608" w:type="dxa"/>
          </w:tcPr>
          <w:p w14:paraId="2E877878" w14:textId="0E4145E0" w:rsidR="00FB2862" w:rsidRPr="0057573E" w:rsidRDefault="00931553" w:rsidP="003A7020">
            <w:pPr>
              <w:rPr>
                <w:rFonts w:cstheme="minorHAnsi"/>
                <w:sz w:val="20"/>
                <w:szCs w:val="20"/>
              </w:rPr>
            </w:pPr>
            <w:r w:rsidRPr="0057573E">
              <w:rPr>
                <w:rFonts w:cstheme="minorHAnsi"/>
                <w:sz w:val="20"/>
                <w:szCs w:val="20"/>
              </w:rPr>
              <w:t>Please see Answer 2 above.</w:t>
            </w:r>
          </w:p>
        </w:tc>
      </w:tr>
      <w:tr w:rsidR="00FB2862" w:rsidRPr="0057573E" w14:paraId="6F9ACC82" w14:textId="77777777" w:rsidTr="00C139F7">
        <w:tc>
          <w:tcPr>
            <w:tcW w:w="494" w:type="dxa"/>
          </w:tcPr>
          <w:p w14:paraId="07FE8EAD" w14:textId="792267D5" w:rsidR="00FB2862" w:rsidRPr="0057573E" w:rsidRDefault="00931553" w:rsidP="003A7020">
            <w:pPr>
              <w:rPr>
                <w:rFonts w:cstheme="minorHAnsi"/>
                <w:sz w:val="20"/>
                <w:szCs w:val="20"/>
              </w:rPr>
            </w:pPr>
            <w:r w:rsidRPr="0057573E">
              <w:rPr>
                <w:rFonts w:cstheme="minorHAnsi"/>
                <w:sz w:val="20"/>
                <w:szCs w:val="20"/>
              </w:rPr>
              <w:t>5</w:t>
            </w:r>
          </w:p>
        </w:tc>
        <w:tc>
          <w:tcPr>
            <w:tcW w:w="4608" w:type="dxa"/>
          </w:tcPr>
          <w:p w14:paraId="4BB43294" w14:textId="192A2944" w:rsidR="00FB2862" w:rsidRPr="0057573E" w:rsidRDefault="00931553" w:rsidP="003A7020">
            <w:pPr>
              <w:rPr>
                <w:rFonts w:cstheme="minorHAnsi"/>
                <w:sz w:val="20"/>
                <w:szCs w:val="20"/>
              </w:rPr>
            </w:pPr>
            <w:r w:rsidRPr="0057573E">
              <w:rPr>
                <w:rFonts w:cstheme="minorHAnsi"/>
                <w:sz w:val="20"/>
                <w:szCs w:val="20"/>
              </w:rPr>
              <w:t>Can Palladium clarify whether to include the pass/fail evaluation criteria documents as attachments to the proposal?</w:t>
            </w:r>
          </w:p>
        </w:tc>
        <w:tc>
          <w:tcPr>
            <w:tcW w:w="4608" w:type="dxa"/>
          </w:tcPr>
          <w:p w14:paraId="05733221" w14:textId="52491BA7" w:rsidR="00931553" w:rsidRPr="0057573E" w:rsidRDefault="00931553" w:rsidP="00931553">
            <w:pPr>
              <w:rPr>
                <w:rFonts w:cstheme="minorHAnsi"/>
                <w:sz w:val="20"/>
                <w:szCs w:val="20"/>
              </w:rPr>
            </w:pPr>
            <w:r w:rsidRPr="0057573E">
              <w:rPr>
                <w:rFonts w:cstheme="minorHAnsi"/>
                <w:sz w:val="20"/>
                <w:szCs w:val="20"/>
              </w:rPr>
              <w:t>Yes, please include the applicable supporting documentation as attachments to the proposal.</w:t>
            </w:r>
          </w:p>
          <w:p w14:paraId="5B05264A" w14:textId="77777777" w:rsidR="00FB2862" w:rsidRPr="0057573E" w:rsidRDefault="00FB2862" w:rsidP="003A7020">
            <w:pPr>
              <w:rPr>
                <w:rFonts w:cstheme="minorHAnsi"/>
                <w:sz w:val="20"/>
                <w:szCs w:val="20"/>
              </w:rPr>
            </w:pPr>
          </w:p>
        </w:tc>
      </w:tr>
      <w:tr w:rsidR="00931553" w:rsidRPr="0057573E" w14:paraId="3388D39A" w14:textId="77777777" w:rsidTr="00C139F7">
        <w:trPr>
          <w:cnfStyle w:val="000000010000" w:firstRow="0" w:lastRow="0" w:firstColumn="0" w:lastColumn="0" w:oddVBand="0" w:evenVBand="0" w:oddHBand="0" w:evenHBand="1" w:firstRowFirstColumn="0" w:firstRowLastColumn="0" w:lastRowFirstColumn="0" w:lastRowLastColumn="0"/>
        </w:trPr>
        <w:tc>
          <w:tcPr>
            <w:tcW w:w="494" w:type="dxa"/>
          </w:tcPr>
          <w:p w14:paraId="6F6E5799" w14:textId="232A7BAF" w:rsidR="00931553" w:rsidRPr="0057573E" w:rsidRDefault="00931553" w:rsidP="003A7020">
            <w:pPr>
              <w:rPr>
                <w:rFonts w:cstheme="minorHAnsi"/>
                <w:sz w:val="20"/>
                <w:szCs w:val="20"/>
              </w:rPr>
            </w:pPr>
            <w:r w:rsidRPr="0057573E">
              <w:rPr>
                <w:rFonts w:cstheme="minorHAnsi"/>
                <w:sz w:val="20"/>
                <w:szCs w:val="20"/>
              </w:rPr>
              <w:t>6</w:t>
            </w:r>
          </w:p>
        </w:tc>
        <w:tc>
          <w:tcPr>
            <w:tcW w:w="4608" w:type="dxa"/>
          </w:tcPr>
          <w:p w14:paraId="77237DD7" w14:textId="02EE3252" w:rsidR="00931553" w:rsidRPr="0057573E" w:rsidRDefault="00931553" w:rsidP="003A7020">
            <w:pPr>
              <w:rPr>
                <w:rFonts w:cstheme="minorHAnsi"/>
                <w:sz w:val="20"/>
                <w:szCs w:val="20"/>
              </w:rPr>
            </w:pPr>
            <w:r w:rsidRPr="0057573E">
              <w:rPr>
                <w:rFonts w:cstheme="minorHAnsi"/>
                <w:sz w:val="20"/>
                <w:szCs w:val="20"/>
              </w:rPr>
              <w:t xml:space="preserve">Under sections (e) and (f) of the first set of pass/fail criteria, Palladium requests offerors to </w:t>
            </w:r>
            <w:r w:rsidRPr="0057573E">
              <w:rPr>
                <w:rFonts w:cstheme="minorHAnsi"/>
                <w:sz w:val="20"/>
                <w:szCs w:val="20"/>
              </w:rPr>
              <w:lastRenderedPageBreak/>
              <w:t xml:space="preserve">provide a confirmation statement under “background and organizational capacity on the firm”. However, this specific section is not listed among the proposal body components as mentioned. Can Palladium clarify the appropriate section where this statement is to be included in the proposal?  </w:t>
            </w:r>
          </w:p>
        </w:tc>
        <w:tc>
          <w:tcPr>
            <w:tcW w:w="4608" w:type="dxa"/>
          </w:tcPr>
          <w:p w14:paraId="279FABA6" w14:textId="74E3BB2D" w:rsidR="00931553" w:rsidRPr="0057573E" w:rsidRDefault="00931553" w:rsidP="00931553">
            <w:pPr>
              <w:rPr>
                <w:rFonts w:cstheme="minorHAnsi"/>
                <w:sz w:val="20"/>
                <w:szCs w:val="20"/>
              </w:rPr>
            </w:pPr>
            <w:r w:rsidRPr="0057573E">
              <w:rPr>
                <w:rFonts w:cstheme="minorHAnsi"/>
                <w:sz w:val="20"/>
                <w:szCs w:val="20"/>
              </w:rPr>
              <w:lastRenderedPageBreak/>
              <w:t>This can be included in</w:t>
            </w:r>
            <w:r w:rsidR="0057573E" w:rsidRPr="0057573E">
              <w:rPr>
                <w:rFonts w:cstheme="minorHAnsi"/>
                <w:sz w:val="20"/>
                <w:szCs w:val="20"/>
              </w:rPr>
              <w:t xml:space="preserve"> the</w:t>
            </w:r>
            <w:r w:rsidR="00E20009">
              <w:rPr>
                <w:rFonts w:cstheme="minorHAnsi"/>
                <w:sz w:val="20"/>
                <w:szCs w:val="20"/>
              </w:rPr>
              <w:t xml:space="preserve"> Cover Letter.</w:t>
            </w:r>
          </w:p>
        </w:tc>
      </w:tr>
      <w:tr w:rsidR="0057573E" w:rsidRPr="0057573E" w14:paraId="531C77B6" w14:textId="77777777" w:rsidTr="00C139F7">
        <w:tc>
          <w:tcPr>
            <w:tcW w:w="494" w:type="dxa"/>
          </w:tcPr>
          <w:p w14:paraId="579437AD" w14:textId="4827EACF" w:rsidR="0057573E" w:rsidRPr="0057573E" w:rsidRDefault="0057573E" w:rsidP="003A7020">
            <w:pPr>
              <w:rPr>
                <w:rFonts w:cstheme="minorHAnsi"/>
                <w:sz w:val="20"/>
                <w:szCs w:val="20"/>
              </w:rPr>
            </w:pPr>
            <w:r w:rsidRPr="0057573E">
              <w:rPr>
                <w:rFonts w:cstheme="minorHAnsi"/>
                <w:sz w:val="20"/>
                <w:szCs w:val="20"/>
              </w:rPr>
              <w:t>7</w:t>
            </w:r>
          </w:p>
        </w:tc>
        <w:tc>
          <w:tcPr>
            <w:tcW w:w="4608" w:type="dxa"/>
          </w:tcPr>
          <w:p w14:paraId="6C28BDDD" w14:textId="3E67D234" w:rsidR="0057573E" w:rsidRPr="0057573E" w:rsidRDefault="0057573E" w:rsidP="003A7020">
            <w:pPr>
              <w:rPr>
                <w:rFonts w:cstheme="minorHAnsi"/>
                <w:sz w:val="20"/>
                <w:szCs w:val="20"/>
              </w:rPr>
            </w:pPr>
            <w:r w:rsidRPr="0057573E">
              <w:rPr>
                <w:rFonts w:cstheme="minorHAnsi"/>
                <w:sz w:val="20"/>
                <w:szCs w:val="20"/>
              </w:rPr>
              <w:t>Can Palladium specify whether team members’ technical resumes/CVs should be submitted as attachments to the proposal?</w:t>
            </w:r>
          </w:p>
        </w:tc>
        <w:tc>
          <w:tcPr>
            <w:tcW w:w="4608" w:type="dxa"/>
          </w:tcPr>
          <w:p w14:paraId="7208B534" w14:textId="226D5CB8" w:rsidR="0057573E" w:rsidRPr="0057573E" w:rsidRDefault="0057573E" w:rsidP="00931553">
            <w:pPr>
              <w:rPr>
                <w:rFonts w:cstheme="minorHAnsi"/>
                <w:sz w:val="20"/>
                <w:szCs w:val="20"/>
              </w:rPr>
            </w:pPr>
            <w:r w:rsidRPr="0057573E">
              <w:rPr>
                <w:rFonts w:cstheme="minorHAnsi"/>
                <w:sz w:val="20"/>
                <w:szCs w:val="20"/>
              </w:rPr>
              <w:t>Yes, please include team members’ CVs as attachments to the proposal.</w:t>
            </w:r>
          </w:p>
        </w:tc>
      </w:tr>
      <w:tr w:rsidR="0057573E" w:rsidRPr="0057573E" w14:paraId="2A5B9FA3" w14:textId="77777777" w:rsidTr="00C139F7">
        <w:trPr>
          <w:cnfStyle w:val="000000010000" w:firstRow="0" w:lastRow="0" w:firstColumn="0" w:lastColumn="0" w:oddVBand="0" w:evenVBand="0" w:oddHBand="0" w:evenHBand="1" w:firstRowFirstColumn="0" w:firstRowLastColumn="0" w:lastRowFirstColumn="0" w:lastRowLastColumn="0"/>
        </w:trPr>
        <w:tc>
          <w:tcPr>
            <w:tcW w:w="494" w:type="dxa"/>
          </w:tcPr>
          <w:p w14:paraId="664C87B9" w14:textId="1808021D" w:rsidR="0057573E" w:rsidRPr="0057573E" w:rsidRDefault="0057573E" w:rsidP="003A7020">
            <w:pPr>
              <w:rPr>
                <w:rFonts w:cstheme="minorHAnsi"/>
                <w:sz w:val="20"/>
                <w:szCs w:val="20"/>
              </w:rPr>
            </w:pPr>
            <w:r w:rsidRPr="0057573E">
              <w:rPr>
                <w:rFonts w:cstheme="minorHAnsi"/>
                <w:sz w:val="20"/>
                <w:szCs w:val="20"/>
              </w:rPr>
              <w:t>8</w:t>
            </w:r>
          </w:p>
        </w:tc>
        <w:tc>
          <w:tcPr>
            <w:tcW w:w="4608" w:type="dxa"/>
          </w:tcPr>
          <w:p w14:paraId="0645DA78" w14:textId="77777777" w:rsidR="0057573E" w:rsidRPr="0057573E" w:rsidRDefault="0057573E" w:rsidP="0057573E">
            <w:pPr>
              <w:rPr>
                <w:rFonts w:cstheme="minorHAnsi"/>
                <w:sz w:val="20"/>
                <w:szCs w:val="20"/>
              </w:rPr>
            </w:pPr>
            <w:r w:rsidRPr="0057573E">
              <w:rPr>
                <w:rFonts w:cstheme="minorHAnsi"/>
                <w:sz w:val="20"/>
                <w:szCs w:val="20"/>
              </w:rPr>
              <w:t xml:space="preserve">Relevant project expertise” is evaluated as a factor under the Technical Approach Evaluation Criterion, which is assigned a total of 20% of the points. However, </w:t>
            </w:r>
            <w:proofErr w:type="gramStart"/>
            <w:r w:rsidRPr="0057573E">
              <w:rPr>
                <w:rFonts w:cstheme="minorHAnsi"/>
                <w:sz w:val="20"/>
                <w:szCs w:val="20"/>
              </w:rPr>
              <w:t>past experience</w:t>
            </w:r>
            <w:proofErr w:type="gramEnd"/>
            <w:r w:rsidRPr="0057573E">
              <w:rPr>
                <w:rFonts w:cstheme="minorHAnsi"/>
                <w:sz w:val="20"/>
                <w:szCs w:val="20"/>
              </w:rPr>
              <w:t xml:space="preserve"> and information of previous projects accounts for maximum 7 pages (35%) of the 20-page proposal (past experience [2 pages], relevant projects [4 pages] referees’ contact [1 page]). Will Palladium consider assigning more points to relevant project experience to align better with the proposal requirements?</w:t>
            </w:r>
          </w:p>
          <w:p w14:paraId="20FFB5CD" w14:textId="77777777" w:rsidR="0057573E" w:rsidRPr="0057573E" w:rsidRDefault="0057573E" w:rsidP="003A7020">
            <w:pPr>
              <w:rPr>
                <w:rFonts w:cstheme="minorHAnsi"/>
                <w:sz w:val="20"/>
                <w:szCs w:val="20"/>
              </w:rPr>
            </w:pPr>
          </w:p>
        </w:tc>
        <w:tc>
          <w:tcPr>
            <w:tcW w:w="4608" w:type="dxa"/>
          </w:tcPr>
          <w:p w14:paraId="0CEE3B0A" w14:textId="10B40CCD" w:rsidR="0057573E" w:rsidRPr="0057573E" w:rsidRDefault="0057573E" w:rsidP="00931553">
            <w:pPr>
              <w:rPr>
                <w:sz w:val="20"/>
                <w:szCs w:val="20"/>
              </w:rPr>
            </w:pPr>
            <w:r w:rsidRPr="3D4DCA41">
              <w:rPr>
                <w:sz w:val="20"/>
                <w:szCs w:val="20"/>
              </w:rPr>
              <w:t>We do not anticipate changing the evaluation weighting or criteria.</w:t>
            </w:r>
            <w:r w:rsidR="0043213A">
              <w:rPr>
                <w:sz w:val="20"/>
                <w:szCs w:val="20"/>
              </w:rPr>
              <w:t xml:space="preserve"> In addition to the 20% allocated to</w:t>
            </w:r>
            <w:r w:rsidR="00CD5751">
              <w:rPr>
                <w:sz w:val="20"/>
                <w:szCs w:val="20"/>
              </w:rPr>
              <w:t xml:space="preserve"> </w:t>
            </w:r>
            <w:r w:rsidR="009631C7">
              <w:rPr>
                <w:sz w:val="20"/>
                <w:szCs w:val="20"/>
              </w:rPr>
              <w:t>Technical Approach</w:t>
            </w:r>
            <w:r w:rsidR="00E63265">
              <w:rPr>
                <w:sz w:val="20"/>
                <w:szCs w:val="20"/>
              </w:rPr>
              <w:t xml:space="preserve">, </w:t>
            </w:r>
            <w:r w:rsidR="009631C7">
              <w:rPr>
                <w:sz w:val="20"/>
                <w:szCs w:val="20"/>
              </w:rPr>
              <w:t xml:space="preserve">an additional 20% is </w:t>
            </w:r>
            <w:r w:rsidR="00E63265">
              <w:rPr>
                <w:sz w:val="20"/>
                <w:szCs w:val="20"/>
              </w:rPr>
              <w:t xml:space="preserve">allocated to Team Structure and Expertise. </w:t>
            </w:r>
          </w:p>
        </w:tc>
      </w:tr>
      <w:tr w:rsidR="0057573E" w:rsidRPr="0057573E" w14:paraId="3B2AD136" w14:textId="77777777" w:rsidTr="00C139F7">
        <w:tc>
          <w:tcPr>
            <w:tcW w:w="494" w:type="dxa"/>
          </w:tcPr>
          <w:p w14:paraId="49C6BCE0" w14:textId="74A8D2FD" w:rsidR="0057573E" w:rsidRPr="0057573E" w:rsidRDefault="0057573E" w:rsidP="003A7020">
            <w:pPr>
              <w:rPr>
                <w:rFonts w:cstheme="minorHAnsi"/>
                <w:sz w:val="20"/>
                <w:szCs w:val="20"/>
              </w:rPr>
            </w:pPr>
            <w:r w:rsidRPr="0057573E">
              <w:rPr>
                <w:rFonts w:cstheme="minorHAnsi"/>
                <w:sz w:val="20"/>
                <w:szCs w:val="20"/>
              </w:rPr>
              <w:t>9</w:t>
            </w:r>
          </w:p>
        </w:tc>
        <w:tc>
          <w:tcPr>
            <w:tcW w:w="4608" w:type="dxa"/>
          </w:tcPr>
          <w:p w14:paraId="74DD4E8A" w14:textId="77777777" w:rsidR="0057573E" w:rsidRPr="0057573E" w:rsidRDefault="0057573E" w:rsidP="0057573E">
            <w:pPr>
              <w:spacing w:before="100" w:beforeAutospacing="1" w:after="100" w:afterAutospacing="1"/>
              <w:rPr>
                <w:rFonts w:eastAsia="Times New Roman" w:cstheme="minorHAnsi"/>
                <w:sz w:val="20"/>
                <w:szCs w:val="20"/>
              </w:rPr>
            </w:pPr>
            <w:proofErr w:type="gramStart"/>
            <w:r w:rsidRPr="0057573E">
              <w:rPr>
                <w:rFonts w:eastAsia="Times New Roman" w:cstheme="minorHAnsi"/>
                <w:sz w:val="20"/>
                <w:szCs w:val="20"/>
              </w:rPr>
              <w:t>In regards to</w:t>
            </w:r>
            <w:proofErr w:type="gramEnd"/>
            <w:r w:rsidRPr="0057573E">
              <w:rPr>
                <w:rFonts w:eastAsia="Times New Roman" w:cstheme="minorHAnsi"/>
                <w:sz w:val="20"/>
                <w:szCs w:val="20"/>
              </w:rPr>
              <w:t xml:space="preserve"> impact milestones and deliverables, is USAID Catalyze looking for direct technical support to be delivered to schools and learners? Or will improved outcomes resulting from increased access to finance in the form of monitoring and measurement be sufficient?  </w:t>
            </w:r>
          </w:p>
          <w:p w14:paraId="6848AF92" w14:textId="77777777" w:rsidR="0057573E" w:rsidRPr="0057573E" w:rsidRDefault="0057573E" w:rsidP="0057573E">
            <w:pPr>
              <w:rPr>
                <w:rFonts w:cstheme="minorHAnsi"/>
                <w:sz w:val="20"/>
                <w:szCs w:val="20"/>
              </w:rPr>
            </w:pPr>
          </w:p>
        </w:tc>
        <w:tc>
          <w:tcPr>
            <w:tcW w:w="4608" w:type="dxa"/>
          </w:tcPr>
          <w:p w14:paraId="13543820" w14:textId="3994678C" w:rsidR="0077139F" w:rsidRDefault="00D0380D" w:rsidP="00931553">
            <w:pPr>
              <w:rPr>
                <w:sz w:val="20"/>
                <w:szCs w:val="20"/>
              </w:rPr>
            </w:pPr>
            <w:r w:rsidRPr="3D4DCA41">
              <w:rPr>
                <w:sz w:val="20"/>
                <w:szCs w:val="20"/>
              </w:rPr>
              <w:t xml:space="preserve">CATALYZE </w:t>
            </w:r>
            <w:r w:rsidR="00FD3BA2" w:rsidRPr="3D4DCA41">
              <w:rPr>
                <w:sz w:val="20"/>
                <w:szCs w:val="20"/>
              </w:rPr>
              <w:t>welcomes potential offerors to develop an activity design using innovative approaches</w:t>
            </w:r>
            <w:r w:rsidR="0077139F" w:rsidRPr="3D4DCA41">
              <w:rPr>
                <w:sz w:val="20"/>
                <w:szCs w:val="20"/>
              </w:rPr>
              <w:t xml:space="preserve"> </w:t>
            </w:r>
            <w:r w:rsidR="00131688" w:rsidRPr="3D4DCA41">
              <w:rPr>
                <w:sz w:val="20"/>
                <w:szCs w:val="20"/>
              </w:rPr>
              <w:t xml:space="preserve">to meet the objectives listed in the RFP, </w:t>
            </w:r>
            <w:r w:rsidR="00FD3BA2" w:rsidRPr="3D4DCA41">
              <w:rPr>
                <w:sz w:val="20"/>
                <w:szCs w:val="20"/>
              </w:rPr>
              <w:t>and as such, do</w:t>
            </w:r>
            <w:r w:rsidR="0077139F" w:rsidRPr="3D4DCA41">
              <w:rPr>
                <w:sz w:val="20"/>
                <w:szCs w:val="20"/>
              </w:rPr>
              <w:t>es</w:t>
            </w:r>
            <w:r w:rsidR="00FD3BA2" w:rsidRPr="3D4DCA41">
              <w:rPr>
                <w:sz w:val="20"/>
                <w:szCs w:val="20"/>
              </w:rPr>
              <w:t xml:space="preserve"> not want to be prescriptive to</w:t>
            </w:r>
            <w:r w:rsidR="0077139F" w:rsidRPr="3D4DCA41">
              <w:rPr>
                <w:sz w:val="20"/>
                <w:szCs w:val="20"/>
              </w:rPr>
              <w:t xml:space="preserve">wards any single </w:t>
            </w:r>
            <w:r w:rsidR="00FD3BA2" w:rsidRPr="3D4DCA41">
              <w:rPr>
                <w:sz w:val="20"/>
                <w:szCs w:val="20"/>
              </w:rPr>
              <w:t xml:space="preserve">approach. </w:t>
            </w:r>
          </w:p>
          <w:p w14:paraId="2D44C088" w14:textId="77777777" w:rsidR="0077139F" w:rsidRDefault="0077139F" w:rsidP="00931553">
            <w:pPr>
              <w:rPr>
                <w:rFonts w:cstheme="minorHAnsi"/>
                <w:sz w:val="20"/>
                <w:szCs w:val="20"/>
              </w:rPr>
            </w:pPr>
          </w:p>
          <w:p w14:paraId="478457D8" w14:textId="532EB992" w:rsidR="0057573E" w:rsidRPr="0057573E" w:rsidRDefault="001A44E0" w:rsidP="00931553">
            <w:pPr>
              <w:rPr>
                <w:sz w:val="20"/>
                <w:szCs w:val="20"/>
              </w:rPr>
            </w:pPr>
            <w:r w:rsidRPr="3D4DCA41">
              <w:rPr>
                <w:sz w:val="20"/>
                <w:szCs w:val="20"/>
              </w:rPr>
              <w:t>Offerors</w:t>
            </w:r>
            <w:r w:rsidR="00FD3BA2" w:rsidRPr="3D4DCA41">
              <w:rPr>
                <w:sz w:val="20"/>
                <w:szCs w:val="20"/>
              </w:rPr>
              <w:t xml:space="preserve"> will be evaluated on </w:t>
            </w:r>
            <w:r w:rsidR="00E20009" w:rsidRPr="3D4DCA41">
              <w:rPr>
                <w:sz w:val="20"/>
                <w:szCs w:val="20"/>
              </w:rPr>
              <w:t xml:space="preserve">both </w:t>
            </w:r>
            <w:r w:rsidR="00FD3BA2" w:rsidRPr="3D4DCA41">
              <w:rPr>
                <w:sz w:val="20"/>
                <w:szCs w:val="20"/>
              </w:rPr>
              <w:t>their pla</w:t>
            </w:r>
            <w:r w:rsidRPr="3D4DCA41">
              <w:rPr>
                <w:sz w:val="20"/>
                <w:szCs w:val="20"/>
              </w:rPr>
              <w:t>n</w:t>
            </w:r>
            <w:r w:rsidR="00FD3BA2" w:rsidRPr="3D4DCA41">
              <w:rPr>
                <w:sz w:val="20"/>
                <w:szCs w:val="20"/>
              </w:rPr>
              <w:t xml:space="preserve"> and demonstrated ability</w:t>
            </w:r>
            <w:r w:rsidRPr="3D4DCA41">
              <w:rPr>
                <w:sz w:val="20"/>
                <w:szCs w:val="20"/>
              </w:rPr>
              <w:t xml:space="preserve"> to</w:t>
            </w:r>
            <w:r w:rsidR="00FD3BA2" w:rsidRPr="3D4DCA41">
              <w:rPr>
                <w:sz w:val="20"/>
                <w:szCs w:val="20"/>
              </w:rPr>
              <w:t xml:space="preserve"> measurably improve learning outcomes</w:t>
            </w:r>
            <w:r w:rsidR="00F243E2" w:rsidRPr="3D4DCA41">
              <w:rPr>
                <w:sz w:val="20"/>
                <w:szCs w:val="20"/>
              </w:rPr>
              <w:t>.</w:t>
            </w:r>
            <w:r w:rsidRPr="3D4DCA41">
              <w:rPr>
                <w:sz w:val="20"/>
                <w:szCs w:val="20"/>
              </w:rPr>
              <w:t xml:space="preserve"> As such, direct technical assistance or support to schools and learners is one of several approaches that an offeror may consider</w:t>
            </w:r>
            <w:r w:rsidR="7CFE3E35" w:rsidRPr="3D4DCA41">
              <w:rPr>
                <w:sz w:val="20"/>
                <w:szCs w:val="20"/>
              </w:rPr>
              <w:t xml:space="preserve">, but any approach proposed must clearly and credibly demonstrate how they will </w:t>
            </w:r>
            <w:r w:rsidR="00BA6DD8" w:rsidRPr="3D4DCA41">
              <w:rPr>
                <w:sz w:val="20"/>
                <w:szCs w:val="20"/>
              </w:rPr>
              <w:t>improve learning</w:t>
            </w:r>
            <w:r w:rsidR="7CFE3E35" w:rsidRPr="3D4DCA41">
              <w:rPr>
                <w:sz w:val="20"/>
                <w:szCs w:val="20"/>
              </w:rPr>
              <w:t xml:space="preserve"> outcomes</w:t>
            </w:r>
            <w:r w:rsidR="58A78065" w:rsidRPr="3D4DCA41">
              <w:rPr>
                <w:sz w:val="20"/>
                <w:szCs w:val="20"/>
              </w:rPr>
              <w:t xml:space="preserve"> in addition to mobilizing private capital and increasing access</w:t>
            </w:r>
          </w:p>
        </w:tc>
      </w:tr>
      <w:tr w:rsidR="0077139F" w:rsidRPr="0057573E" w14:paraId="7A08959C" w14:textId="77777777" w:rsidTr="00C139F7">
        <w:trPr>
          <w:cnfStyle w:val="000000010000" w:firstRow="0" w:lastRow="0" w:firstColumn="0" w:lastColumn="0" w:oddVBand="0" w:evenVBand="0" w:oddHBand="0" w:evenHBand="1" w:firstRowFirstColumn="0" w:firstRowLastColumn="0" w:lastRowFirstColumn="0" w:lastRowLastColumn="0"/>
        </w:trPr>
        <w:tc>
          <w:tcPr>
            <w:tcW w:w="494" w:type="dxa"/>
          </w:tcPr>
          <w:p w14:paraId="2D6CFFD8" w14:textId="2C7501F4" w:rsidR="0077139F" w:rsidRPr="0057573E" w:rsidRDefault="0077139F" w:rsidP="003A7020">
            <w:pPr>
              <w:rPr>
                <w:rFonts w:cstheme="minorHAnsi"/>
                <w:sz w:val="20"/>
                <w:szCs w:val="20"/>
              </w:rPr>
            </w:pPr>
            <w:r>
              <w:rPr>
                <w:rFonts w:cstheme="minorHAnsi"/>
                <w:sz w:val="20"/>
                <w:szCs w:val="20"/>
              </w:rPr>
              <w:t>10</w:t>
            </w:r>
          </w:p>
        </w:tc>
        <w:tc>
          <w:tcPr>
            <w:tcW w:w="4608" w:type="dxa"/>
          </w:tcPr>
          <w:p w14:paraId="56E5D3D5" w14:textId="77777777" w:rsidR="0077139F" w:rsidRPr="0057573E" w:rsidRDefault="0077139F" w:rsidP="0077139F">
            <w:pPr>
              <w:spacing w:before="100" w:beforeAutospacing="1" w:after="100" w:afterAutospacing="1"/>
              <w:rPr>
                <w:rFonts w:eastAsia="Times New Roman" w:cstheme="minorHAnsi"/>
                <w:sz w:val="20"/>
                <w:szCs w:val="20"/>
              </w:rPr>
            </w:pPr>
            <w:r w:rsidRPr="0057573E">
              <w:rPr>
                <w:rFonts w:eastAsia="Times New Roman" w:cstheme="minorHAnsi"/>
                <w:sz w:val="20"/>
                <w:szCs w:val="20"/>
              </w:rPr>
              <w:t xml:space="preserve">What documents will be required to demonstrate "capital mobilized" (e.g., proof of commitment? term </w:t>
            </w:r>
            <w:proofErr w:type="gramStart"/>
            <w:r w:rsidRPr="0057573E">
              <w:rPr>
                <w:rFonts w:eastAsia="Times New Roman" w:cstheme="minorHAnsi"/>
                <w:sz w:val="20"/>
                <w:szCs w:val="20"/>
              </w:rPr>
              <w:t>sheets?,</w:t>
            </w:r>
            <w:proofErr w:type="gramEnd"/>
            <w:r w:rsidRPr="0057573E">
              <w:rPr>
                <w:rFonts w:eastAsia="Times New Roman" w:cstheme="minorHAnsi"/>
                <w:sz w:val="20"/>
                <w:szCs w:val="20"/>
              </w:rPr>
              <w:t xml:space="preserve"> etc.)?</w:t>
            </w:r>
          </w:p>
          <w:p w14:paraId="499FCA60" w14:textId="77777777" w:rsidR="0077139F" w:rsidRPr="0057573E" w:rsidRDefault="0077139F" w:rsidP="0057573E">
            <w:pPr>
              <w:spacing w:before="100" w:beforeAutospacing="1" w:after="100" w:afterAutospacing="1"/>
              <w:rPr>
                <w:rFonts w:eastAsia="Times New Roman" w:cstheme="minorHAnsi"/>
                <w:sz w:val="20"/>
                <w:szCs w:val="20"/>
              </w:rPr>
            </w:pPr>
          </w:p>
        </w:tc>
        <w:tc>
          <w:tcPr>
            <w:tcW w:w="4608" w:type="dxa"/>
          </w:tcPr>
          <w:p w14:paraId="2CF52EAC" w14:textId="0E37F610" w:rsidR="00FA7FA8" w:rsidRDefault="599A7B31" w:rsidP="00FA7FA8">
            <w:pPr>
              <w:rPr>
                <w:sz w:val="20"/>
                <w:szCs w:val="20"/>
              </w:rPr>
            </w:pPr>
            <w:r w:rsidRPr="3D4DCA41">
              <w:rPr>
                <w:sz w:val="20"/>
                <w:szCs w:val="20"/>
              </w:rPr>
              <w:t xml:space="preserve">The approach for verifying capital mobilized will vary depending on the approach taken by the </w:t>
            </w:r>
            <w:r w:rsidR="00ED1D3E" w:rsidRPr="3D4DCA41">
              <w:rPr>
                <w:sz w:val="20"/>
                <w:szCs w:val="20"/>
              </w:rPr>
              <w:t>offeror</w:t>
            </w:r>
            <w:r w:rsidRPr="3D4DCA41">
              <w:rPr>
                <w:sz w:val="20"/>
                <w:szCs w:val="20"/>
              </w:rPr>
              <w:t>, however a few key principles apply</w:t>
            </w:r>
            <w:r w:rsidR="002B717D">
              <w:rPr>
                <w:sz w:val="20"/>
                <w:szCs w:val="20"/>
              </w:rPr>
              <w:t>.</w:t>
            </w:r>
          </w:p>
          <w:p w14:paraId="30AD3101" w14:textId="77777777" w:rsidR="002B717D" w:rsidRDefault="002B717D" w:rsidP="00FA7FA8">
            <w:pPr>
              <w:rPr>
                <w:sz w:val="20"/>
                <w:szCs w:val="20"/>
              </w:rPr>
            </w:pPr>
          </w:p>
          <w:p w14:paraId="1F691019" w14:textId="5085DEA9" w:rsidR="00C47901" w:rsidRDefault="002B717D" w:rsidP="0071155B">
            <w:pPr>
              <w:rPr>
                <w:sz w:val="20"/>
                <w:szCs w:val="20"/>
              </w:rPr>
            </w:pPr>
            <w:r>
              <w:rPr>
                <w:sz w:val="20"/>
                <w:szCs w:val="20"/>
              </w:rPr>
              <w:t xml:space="preserve">CATALYZE considers both debt (e.g., loans) and non-debt financing (e.g., grants) for private capital mobilization. </w:t>
            </w:r>
            <w:r w:rsidR="00C47901" w:rsidRPr="3D4DCA41">
              <w:rPr>
                <w:sz w:val="20"/>
                <w:szCs w:val="20"/>
              </w:rPr>
              <w:t xml:space="preserve">Debt-financing requires proof of commitment, </w:t>
            </w:r>
            <w:r w:rsidR="00C47901">
              <w:rPr>
                <w:sz w:val="20"/>
                <w:szCs w:val="20"/>
              </w:rPr>
              <w:t>such as proof that</w:t>
            </w:r>
            <w:r w:rsidR="004D131A">
              <w:rPr>
                <w:sz w:val="20"/>
                <w:szCs w:val="20"/>
              </w:rPr>
              <w:t xml:space="preserve"> a </w:t>
            </w:r>
            <w:r w:rsidR="00C47901" w:rsidRPr="3D4DCA41">
              <w:rPr>
                <w:sz w:val="20"/>
                <w:szCs w:val="20"/>
              </w:rPr>
              <w:t>loan</w:t>
            </w:r>
            <w:r w:rsidR="004D131A">
              <w:rPr>
                <w:sz w:val="20"/>
                <w:szCs w:val="20"/>
              </w:rPr>
              <w:t xml:space="preserve"> was</w:t>
            </w:r>
            <w:r w:rsidR="00C47901" w:rsidRPr="3D4DCA41">
              <w:rPr>
                <w:sz w:val="20"/>
                <w:szCs w:val="20"/>
              </w:rPr>
              <w:t xml:space="preserve"> approved by </w:t>
            </w:r>
            <w:r w:rsidR="004D131A">
              <w:rPr>
                <w:sz w:val="20"/>
                <w:szCs w:val="20"/>
              </w:rPr>
              <w:t>a financial institution</w:t>
            </w:r>
            <w:r w:rsidR="00C47901" w:rsidRPr="3D4DCA41">
              <w:rPr>
                <w:sz w:val="20"/>
                <w:szCs w:val="20"/>
              </w:rPr>
              <w:t xml:space="preserve"> and accepted by</w:t>
            </w:r>
            <w:r w:rsidR="004D131A">
              <w:rPr>
                <w:sz w:val="20"/>
                <w:szCs w:val="20"/>
              </w:rPr>
              <w:t xml:space="preserve"> a</w:t>
            </w:r>
            <w:r w:rsidR="00C47901" w:rsidRPr="3D4DCA41">
              <w:rPr>
                <w:sz w:val="20"/>
                <w:szCs w:val="20"/>
              </w:rPr>
              <w:t xml:space="preserve"> borrower. Non-debt financing (</w:t>
            </w:r>
            <w:proofErr w:type="gramStart"/>
            <w:r w:rsidR="00C47901" w:rsidRPr="3D4DCA41">
              <w:rPr>
                <w:sz w:val="20"/>
                <w:szCs w:val="20"/>
              </w:rPr>
              <w:t>e.g.</w:t>
            </w:r>
            <w:proofErr w:type="gramEnd"/>
            <w:r w:rsidR="00C47901" w:rsidRPr="3D4DCA41">
              <w:rPr>
                <w:sz w:val="20"/>
                <w:szCs w:val="20"/>
              </w:rPr>
              <w:t xml:space="preserve"> grants) require proof of disbursement. </w:t>
            </w:r>
          </w:p>
          <w:p w14:paraId="2ED1CBAC" w14:textId="1C9B58D0" w:rsidR="00C47901" w:rsidRDefault="00C47901" w:rsidP="00C47901">
            <w:pPr>
              <w:rPr>
                <w:sz w:val="20"/>
                <w:szCs w:val="20"/>
              </w:rPr>
            </w:pPr>
          </w:p>
          <w:p w14:paraId="231AEB72" w14:textId="551A8EFC" w:rsidR="007871F8" w:rsidRDefault="003967A8" w:rsidP="007871F8">
            <w:pPr>
              <w:rPr>
                <w:sz w:val="20"/>
                <w:szCs w:val="20"/>
              </w:rPr>
            </w:pPr>
            <w:r>
              <w:rPr>
                <w:sz w:val="20"/>
                <w:szCs w:val="20"/>
              </w:rPr>
              <w:t>Both debt and non-debt financing</w:t>
            </w:r>
            <w:r w:rsidR="00F042E1">
              <w:rPr>
                <w:sz w:val="20"/>
                <w:szCs w:val="20"/>
              </w:rPr>
              <w:t xml:space="preserve"> must comply with Congressional Guardrails (listed in Section V of the SOW in the RFP)</w:t>
            </w:r>
            <w:r w:rsidR="0071155B">
              <w:rPr>
                <w:sz w:val="20"/>
                <w:szCs w:val="20"/>
              </w:rPr>
              <w:t xml:space="preserve"> to be accepted by </w:t>
            </w:r>
            <w:r w:rsidR="00DD2203">
              <w:rPr>
                <w:sz w:val="20"/>
                <w:szCs w:val="20"/>
              </w:rPr>
              <w:t>CATALYZE</w:t>
            </w:r>
            <w:r w:rsidR="0071155B">
              <w:rPr>
                <w:sz w:val="20"/>
                <w:szCs w:val="20"/>
              </w:rPr>
              <w:t xml:space="preserve"> and count towards achieving programmatic results</w:t>
            </w:r>
            <w:r w:rsidR="00F042E1">
              <w:rPr>
                <w:sz w:val="20"/>
                <w:szCs w:val="20"/>
              </w:rPr>
              <w:t xml:space="preserve">. </w:t>
            </w:r>
            <w:r w:rsidR="00450E3E" w:rsidRPr="3D4DCA41">
              <w:rPr>
                <w:sz w:val="20"/>
                <w:szCs w:val="20"/>
              </w:rPr>
              <w:t>For</w:t>
            </w:r>
            <w:r w:rsidR="00A04C5B">
              <w:rPr>
                <w:sz w:val="20"/>
                <w:szCs w:val="20"/>
              </w:rPr>
              <w:t xml:space="preserve"> </w:t>
            </w:r>
            <w:r w:rsidR="00450E3E" w:rsidRPr="3D4DCA41">
              <w:rPr>
                <w:sz w:val="20"/>
                <w:szCs w:val="20"/>
              </w:rPr>
              <w:t xml:space="preserve">capital mobilized through financial institutions directly to schools or </w:t>
            </w:r>
            <w:r w:rsidR="00450E3E" w:rsidRPr="3D4DCA41">
              <w:rPr>
                <w:sz w:val="20"/>
                <w:szCs w:val="20"/>
              </w:rPr>
              <w:lastRenderedPageBreak/>
              <w:t xml:space="preserve">families, </w:t>
            </w:r>
            <w:r w:rsidR="00B10480">
              <w:rPr>
                <w:sz w:val="20"/>
                <w:szCs w:val="20"/>
              </w:rPr>
              <w:t xml:space="preserve">for example, </w:t>
            </w:r>
            <w:r w:rsidR="00450E3E" w:rsidRPr="3D4DCA41">
              <w:rPr>
                <w:sz w:val="20"/>
                <w:szCs w:val="20"/>
              </w:rPr>
              <w:t>anonymized data on loan listings will be required from partner financial institutions to verify that financing and other supports are</w:t>
            </w:r>
            <w:r w:rsidR="00D30C3E">
              <w:rPr>
                <w:sz w:val="20"/>
                <w:szCs w:val="20"/>
              </w:rPr>
              <w:t xml:space="preserve"> 1).</w:t>
            </w:r>
            <w:r w:rsidR="00450E3E" w:rsidRPr="3D4DCA41">
              <w:rPr>
                <w:sz w:val="20"/>
                <w:szCs w:val="20"/>
              </w:rPr>
              <w:t xml:space="preserve"> delivered in line with </w:t>
            </w:r>
            <w:r w:rsidR="007871F8">
              <w:rPr>
                <w:sz w:val="20"/>
                <w:szCs w:val="20"/>
              </w:rPr>
              <w:t>the Activity’s priority sector and geography</w:t>
            </w:r>
            <w:r w:rsidR="00D30C3E">
              <w:rPr>
                <w:sz w:val="20"/>
                <w:szCs w:val="20"/>
              </w:rPr>
              <w:t>;</w:t>
            </w:r>
            <w:r w:rsidR="007871F8">
              <w:rPr>
                <w:sz w:val="20"/>
                <w:szCs w:val="20"/>
              </w:rPr>
              <w:t xml:space="preserve"> and</w:t>
            </w:r>
            <w:r w:rsidR="00D30C3E">
              <w:rPr>
                <w:sz w:val="20"/>
                <w:szCs w:val="20"/>
              </w:rPr>
              <w:t xml:space="preserve"> 2).</w:t>
            </w:r>
            <w:r w:rsidR="007871F8">
              <w:rPr>
                <w:sz w:val="20"/>
                <w:szCs w:val="20"/>
              </w:rPr>
              <w:t xml:space="preserve"> are serving low to lower-middle income populations, as defined by </w:t>
            </w:r>
            <w:r w:rsidR="00450E3E" w:rsidRPr="3D4DCA41">
              <w:rPr>
                <w:sz w:val="20"/>
                <w:szCs w:val="20"/>
              </w:rPr>
              <w:t>Congressional Guardrails</w:t>
            </w:r>
            <w:r w:rsidR="00953405">
              <w:rPr>
                <w:sz w:val="20"/>
                <w:szCs w:val="20"/>
              </w:rPr>
              <w:t>.</w:t>
            </w:r>
          </w:p>
          <w:p w14:paraId="52DA2BF6" w14:textId="77777777" w:rsidR="00450E3E" w:rsidRDefault="00450E3E" w:rsidP="00450E3E">
            <w:pPr>
              <w:rPr>
                <w:sz w:val="20"/>
                <w:szCs w:val="20"/>
              </w:rPr>
            </w:pPr>
          </w:p>
          <w:p w14:paraId="1223949A" w14:textId="7391AE4D" w:rsidR="0077139F" w:rsidRDefault="7CBC7AFC" w:rsidP="00931553">
            <w:pPr>
              <w:rPr>
                <w:sz w:val="20"/>
                <w:szCs w:val="20"/>
              </w:rPr>
            </w:pPr>
            <w:r w:rsidRPr="3D4DCA41">
              <w:rPr>
                <w:sz w:val="20"/>
                <w:szCs w:val="20"/>
              </w:rPr>
              <w:t xml:space="preserve">Compliance with the </w:t>
            </w:r>
            <w:r w:rsidR="00BA6DD8">
              <w:rPr>
                <w:sz w:val="20"/>
                <w:szCs w:val="20"/>
              </w:rPr>
              <w:t>G</w:t>
            </w:r>
            <w:r w:rsidRPr="3D4DCA41">
              <w:rPr>
                <w:sz w:val="20"/>
                <w:szCs w:val="20"/>
              </w:rPr>
              <w:t xml:space="preserve">uardrail is measured by using the lowest school </w:t>
            </w:r>
            <w:r w:rsidR="00F042E1" w:rsidRPr="3D4DCA41">
              <w:rPr>
                <w:sz w:val="20"/>
                <w:szCs w:val="20"/>
              </w:rPr>
              <w:t>fee that</w:t>
            </w:r>
            <w:r w:rsidRPr="3D4DCA41">
              <w:rPr>
                <w:sz w:val="20"/>
                <w:szCs w:val="20"/>
              </w:rPr>
              <w:t xml:space="preserve"> a school charges. The benchmark </w:t>
            </w:r>
            <w:r w:rsidR="6B8416E0" w:rsidRPr="3D4DCA41">
              <w:rPr>
                <w:sz w:val="20"/>
                <w:szCs w:val="20"/>
              </w:rPr>
              <w:t xml:space="preserve">of the lowest school fee must be set by the Activity at the start of interventions. The benchmark may vary by geographic location. For example, </w:t>
            </w:r>
            <w:r w:rsidR="004B3C68">
              <w:rPr>
                <w:sz w:val="20"/>
                <w:szCs w:val="20"/>
              </w:rPr>
              <w:t xml:space="preserve">the lowest school fee that </w:t>
            </w:r>
            <w:r w:rsidR="6B8416E0" w:rsidRPr="3D4DCA41">
              <w:rPr>
                <w:sz w:val="20"/>
                <w:szCs w:val="20"/>
              </w:rPr>
              <w:t xml:space="preserve">schools in urban areas may </w:t>
            </w:r>
            <w:proofErr w:type="gramStart"/>
            <w:r w:rsidR="004B3C68">
              <w:rPr>
                <w:sz w:val="20"/>
                <w:szCs w:val="20"/>
              </w:rPr>
              <w:t>be</w:t>
            </w:r>
            <w:proofErr w:type="gramEnd"/>
            <w:r w:rsidR="004B3C68">
              <w:rPr>
                <w:sz w:val="20"/>
                <w:szCs w:val="20"/>
              </w:rPr>
              <w:t xml:space="preserve"> </w:t>
            </w:r>
            <w:r w:rsidR="1DE0016C" w:rsidRPr="3D4DCA41">
              <w:rPr>
                <w:sz w:val="20"/>
                <w:szCs w:val="20"/>
              </w:rPr>
              <w:t>is higher than the low</w:t>
            </w:r>
            <w:r w:rsidR="00BA6DD8">
              <w:rPr>
                <w:sz w:val="20"/>
                <w:szCs w:val="20"/>
              </w:rPr>
              <w:t xml:space="preserve">est </w:t>
            </w:r>
            <w:r w:rsidR="1DE0016C" w:rsidRPr="3D4DCA41">
              <w:rPr>
                <w:sz w:val="20"/>
                <w:szCs w:val="20"/>
              </w:rPr>
              <w:t xml:space="preserve">school fee charged by schools in rural areas. </w:t>
            </w:r>
          </w:p>
        </w:tc>
      </w:tr>
      <w:tr w:rsidR="00F243E2" w:rsidRPr="0057573E" w14:paraId="37304844" w14:textId="77777777" w:rsidTr="00C139F7">
        <w:tc>
          <w:tcPr>
            <w:tcW w:w="494" w:type="dxa"/>
          </w:tcPr>
          <w:p w14:paraId="1731422C" w14:textId="27FC90A0" w:rsidR="00F243E2" w:rsidRDefault="00F243E2" w:rsidP="003A7020">
            <w:pPr>
              <w:rPr>
                <w:rFonts w:cstheme="minorHAnsi"/>
                <w:sz w:val="20"/>
                <w:szCs w:val="20"/>
              </w:rPr>
            </w:pPr>
            <w:r>
              <w:rPr>
                <w:rFonts w:cstheme="minorHAnsi"/>
                <w:sz w:val="20"/>
                <w:szCs w:val="20"/>
              </w:rPr>
              <w:lastRenderedPageBreak/>
              <w:t>11</w:t>
            </w:r>
          </w:p>
        </w:tc>
        <w:tc>
          <w:tcPr>
            <w:tcW w:w="4608" w:type="dxa"/>
          </w:tcPr>
          <w:p w14:paraId="57C451F9" w14:textId="36B3183F" w:rsidR="00F243E2" w:rsidRPr="0057573E" w:rsidRDefault="00F243E2" w:rsidP="00F243E2">
            <w:pPr>
              <w:spacing w:before="100" w:beforeAutospacing="1" w:after="100" w:afterAutospacing="1"/>
              <w:rPr>
                <w:rFonts w:eastAsia="Times New Roman" w:cstheme="minorHAnsi"/>
                <w:sz w:val="20"/>
                <w:szCs w:val="20"/>
              </w:rPr>
            </w:pPr>
            <w:proofErr w:type="gramStart"/>
            <w:r w:rsidRPr="0057573E">
              <w:rPr>
                <w:rFonts w:eastAsia="Times New Roman" w:cstheme="minorHAnsi"/>
                <w:sz w:val="20"/>
                <w:szCs w:val="20"/>
              </w:rPr>
              <w:t>In regards to</w:t>
            </w:r>
            <w:proofErr w:type="gramEnd"/>
            <w:r w:rsidRPr="0057573E">
              <w:rPr>
                <w:rFonts w:eastAsia="Times New Roman" w:cstheme="minorHAnsi"/>
                <w:sz w:val="20"/>
                <w:szCs w:val="20"/>
              </w:rPr>
              <w:t xml:space="preserve"> priority geography, do "informal settlements in urban areas" need to be located in the prioritized Northeastern counties of Garissa, </w:t>
            </w:r>
            <w:proofErr w:type="spellStart"/>
            <w:r w:rsidRPr="0057573E">
              <w:rPr>
                <w:rFonts w:eastAsia="Times New Roman" w:cstheme="minorHAnsi"/>
                <w:sz w:val="20"/>
                <w:szCs w:val="20"/>
              </w:rPr>
              <w:t>Wajir</w:t>
            </w:r>
            <w:proofErr w:type="spellEnd"/>
            <w:r w:rsidRPr="0057573E">
              <w:rPr>
                <w:rFonts w:eastAsia="Times New Roman" w:cstheme="minorHAnsi"/>
                <w:sz w:val="20"/>
                <w:szCs w:val="20"/>
              </w:rPr>
              <w:t>, and Mandera?</w:t>
            </w:r>
          </w:p>
        </w:tc>
        <w:tc>
          <w:tcPr>
            <w:tcW w:w="4608" w:type="dxa"/>
          </w:tcPr>
          <w:p w14:paraId="21899BF2" w14:textId="1B480EE3" w:rsidR="00F243E2" w:rsidRDefault="00F243E2" w:rsidP="00931553">
            <w:pPr>
              <w:rPr>
                <w:sz w:val="20"/>
                <w:szCs w:val="20"/>
              </w:rPr>
            </w:pPr>
            <w:r w:rsidRPr="3D4DCA41">
              <w:rPr>
                <w:sz w:val="20"/>
                <w:szCs w:val="20"/>
              </w:rPr>
              <w:t>No – the priority geography is informal settlements in urban areas</w:t>
            </w:r>
            <w:r w:rsidR="001A44E0" w:rsidRPr="3D4DCA41">
              <w:rPr>
                <w:sz w:val="20"/>
                <w:szCs w:val="20"/>
              </w:rPr>
              <w:t xml:space="preserve"> </w:t>
            </w:r>
            <w:r w:rsidRPr="3D4DCA41">
              <w:rPr>
                <w:b/>
                <w:bCs/>
                <w:i/>
                <w:iCs/>
                <w:sz w:val="20"/>
                <w:szCs w:val="20"/>
              </w:rPr>
              <w:t>and</w:t>
            </w:r>
            <w:r w:rsidRPr="3D4DCA41">
              <w:rPr>
                <w:sz w:val="20"/>
                <w:szCs w:val="20"/>
              </w:rPr>
              <w:t xml:space="preserve"> </w:t>
            </w:r>
            <w:r w:rsidR="001A44E0" w:rsidRPr="3D4DCA41">
              <w:rPr>
                <w:sz w:val="20"/>
                <w:szCs w:val="20"/>
              </w:rPr>
              <w:t xml:space="preserve">schools in </w:t>
            </w:r>
            <w:r w:rsidRPr="3D4DCA41">
              <w:rPr>
                <w:sz w:val="20"/>
                <w:szCs w:val="20"/>
              </w:rPr>
              <w:t xml:space="preserve">the Northeastern counties of Garissa, </w:t>
            </w:r>
            <w:proofErr w:type="spellStart"/>
            <w:r w:rsidRPr="3D4DCA41">
              <w:rPr>
                <w:sz w:val="20"/>
                <w:szCs w:val="20"/>
              </w:rPr>
              <w:t>Wajir</w:t>
            </w:r>
            <w:proofErr w:type="spellEnd"/>
            <w:r w:rsidRPr="3D4DCA41">
              <w:rPr>
                <w:sz w:val="20"/>
                <w:szCs w:val="20"/>
              </w:rPr>
              <w:t>, and Mandera</w:t>
            </w:r>
            <w:r w:rsidR="1D9B80D1" w:rsidRPr="3D4DCA41">
              <w:rPr>
                <w:sz w:val="20"/>
                <w:szCs w:val="20"/>
              </w:rPr>
              <w:t xml:space="preserve">. </w:t>
            </w:r>
            <w:r w:rsidR="001A44E0" w:rsidRPr="3D4DCA41">
              <w:rPr>
                <w:sz w:val="20"/>
                <w:szCs w:val="20"/>
              </w:rPr>
              <w:t xml:space="preserve"> </w:t>
            </w:r>
            <w:r w:rsidR="370120CA" w:rsidRPr="3D4DCA41">
              <w:rPr>
                <w:sz w:val="20"/>
                <w:szCs w:val="20"/>
              </w:rPr>
              <w:t>I</w:t>
            </w:r>
            <w:r w:rsidR="001A44E0" w:rsidRPr="3D4DCA41">
              <w:rPr>
                <w:sz w:val="20"/>
                <w:szCs w:val="20"/>
              </w:rPr>
              <w:t>nformal settlements in urban areas do not need to be in the named Northeastern counties</w:t>
            </w:r>
            <w:r w:rsidR="153158BA" w:rsidRPr="3D4DCA41">
              <w:rPr>
                <w:sz w:val="20"/>
                <w:szCs w:val="20"/>
              </w:rPr>
              <w:t xml:space="preserve">. Rather, proposals should make a reasonable case for how they will reach </w:t>
            </w:r>
            <w:r w:rsidR="007024C7">
              <w:rPr>
                <w:sz w:val="20"/>
                <w:szCs w:val="20"/>
              </w:rPr>
              <w:t>low-cost private primary schools</w:t>
            </w:r>
            <w:r w:rsidR="153158BA" w:rsidRPr="3D4DCA41">
              <w:rPr>
                <w:sz w:val="20"/>
                <w:szCs w:val="20"/>
              </w:rPr>
              <w:t xml:space="preserve"> in informal settleme</w:t>
            </w:r>
            <w:r w:rsidR="5C760828" w:rsidRPr="3D4DCA41">
              <w:rPr>
                <w:sz w:val="20"/>
                <w:szCs w:val="20"/>
              </w:rPr>
              <w:t>nt</w:t>
            </w:r>
            <w:r w:rsidR="153158BA" w:rsidRPr="3D4DCA41">
              <w:rPr>
                <w:sz w:val="20"/>
                <w:szCs w:val="20"/>
              </w:rPr>
              <w:t xml:space="preserve">s in urban areas </w:t>
            </w:r>
            <w:r w:rsidR="007024C7">
              <w:rPr>
                <w:sz w:val="20"/>
                <w:szCs w:val="20"/>
              </w:rPr>
              <w:t>such as</w:t>
            </w:r>
            <w:r w:rsidR="153158BA" w:rsidRPr="3D4DCA41">
              <w:rPr>
                <w:sz w:val="20"/>
                <w:szCs w:val="20"/>
              </w:rPr>
              <w:t xml:space="preserve"> Nairobi, Mombasa, Kisumu, </w:t>
            </w:r>
            <w:r w:rsidR="007024C7" w:rsidRPr="3D4DCA41">
              <w:rPr>
                <w:sz w:val="20"/>
                <w:szCs w:val="20"/>
              </w:rPr>
              <w:t>etc.</w:t>
            </w:r>
            <w:r w:rsidR="153158BA" w:rsidRPr="3D4DCA41">
              <w:rPr>
                <w:sz w:val="20"/>
                <w:szCs w:val="20"/>
              </w:rPr>
              <w:t>, while also providing some level of</w:t>
            </w:r>
            <w:r w:rsidR="001A44E0" w:rsidRPr="3D4DCA41">
              <w:rPr>
                <w:sz w:val="20"/>
                <w:szCs w:val="20"/>
              </w:rPr>
              <w:t xml:space="preserve"> interventions in the Northeastern counties</w:t>
            </w:r>
            <w:r w:rsidR="0305F9D2" w:rsidRPr="3D4DCA41">
              <w:rPr>
                <w:sz w:val="20"/>
                <w:szCs w:val="20"/>
              </w:rPr>
              <w:t xml:space="preserve">. Given the nature of the </w:t>
            </w:r>
            <w:r w:rsidR="007024C7">
              <w:rPr>
                <w:sz w:val="20"/>
                <w:szCs w:val="20"/>
              </w:rPr>
              <w:t>N</w:t>
            </w:r>
            <w:r w:rsidR="0305F9D2" w:rsidRPr="3D4DCA41">
              <w:rPr>
                <w:sz w:val="20"/>
                <w:szCs w:val="20"/>
              </w:rPr>
              <w:t xml:space="preserve">ortheastern counties, interventions there will not be taking place in major urban areas. </w:t>
            </w:r>
            <w:r w:rsidR="001A44E0" w:rsidRPr="3D4DCA41">
              <w:rPr>
                <w:sz w:val="20"/>
                <w:szCs w:val="20"/>
              </w:rPr>
              <w:t>.</w:t>
            </w:r>
          </w:p>
        </w:tc>
      </w:tr>
      <w:tr w:rsidR="0058472B" w:rsidRPr="0057573E" w14:paraId="0A220B14" w14:textId="77777777" w:rsidTr="00B81C0D">
        <w:trPr>
          <w:cnfStyle w:val="000000010000" w:firstRow="0" w:lastRow="0" w:firstColumn="0" w:lastColumn="0" w:oddVBand="0" w:evenVBand="0" w:oddHBand="0" w:evenHBand="1" w:firstRowFirstColumn="0" w:firstRowLastColumn="0" w:lastRowFirstColumn="0" w:lastRowLastColumn="0"/>
          <w:trHeight w:val="20"/>
        </w:trPr>
        <w:tc>
          <w:tcPr>
            <w:tcW w:w="494" w:type="dxa"/>
          </w:tcPr>
          <w:p w14:paraId="41DE80A3" w14:textId="12D478A9" w:rsidR="0058472B" w:rsidRDefault="0058472B" w:rsidP="003A7020">
            <w:pPr>
              <w:rPr>
                <w:rFonts w:cstheme="minorHAnsi"/>
                <w:sz w:val="20"/>
                <w:szCs w:val="20"/>
              </w:rPr>
            </w:pPr>
            <w:r>
              <w:rPr>
                <w:rFonts w:cstheme="minorHAnsi"/>
                <w:sz w:val="20"/>
                <w:szCs w:val="20"/>
              </w:rPr>
              <w:t>12</w:t>
            </w:r>
          </w:p>
        </w:tc>
        <w:tc>
          <w:tcPr>
            <w:tcW w:w="4608" w:type="dxa"/>
          </w:tcPr>
          <w:p w14:paraId="0FF9D49F" w14:textId="6CA19EBA" w:rsidR="0058472B" w:rsidRPr="00B81C0D" w:rsidRDefault="00B81C0D" w:rsidP="00F243E2">
            <w:pPr>
              <w:spacing w:before="100" w:beforeAutospacing="1" w:after="100" w:afterAutospacing="1"/>
              <w:rPr>
                <w:rFonts w:eastAsia="Times New Roman" w:cstheme="minorHAnsi"/>
                <w:sz w:val="20"/>
                <w:szCs w:val="20"/>
              </w:rPr>
            </w:pPr>
            <w:r w:rsidRPr="00B81C0D">
              <w:rPr>
                <w:rFonts w:eastAsia="Times New Roman"/>
                <w:color w:val="000000"/>
                <w:sz w:val="20"/>
                <w:szCs w:val="20"/>
              </w:rPr>
              <w:t>We kindly ask if Palladium would be amenable to extending the proposal submission deadline by one week, from Friday, August 18</w:t>
            </w:r>
            <w:r w:rsidRPr="00B81C0D">
              <w:rPr>
                <w:rFonts w:eastAsia="Times New Roman"/>
                <w:color w:val="000000"/>
                <w:sz w:val="20"/>
                <w:szCs w:val="20"/>
                <w:vertAlign w:val="superscript"/>
              </w:rPr>
              <w:t>th</w:t>
            </w:r>
            <w:r w:rsidRPr="00B81C0D">
              <w:rPr>
                <w:rFonts w:eastAsia="Times New Roman"/>
                <w:color w:val="000000"/>
                <w:sz w:val="20"/>
                <w:szCs w:val="20"/>
              </w:rPr>
              <w:t> to Friday, August 25th? </w:t>
            </w:r>
          </w:p>
        </w:tc>
        <w:tc>
          <w:tcPr>
            <w:tcW w:w="4608" w:type="dxa"/>
          </w:tcPr>
          <w:p w14:paraId="1F142A35" w14:textId="78CF3397" w:rsidR="0058472B" w:rsidRDefault="00832871" w:rsidP="00931553">
            <w:pPr>
              <w:rPr>
                <w:rFonts w:cstheme="minorHAnsi"/>
                <w:sz w:val="20"/>
                <w:szCs w:val="20"/>
              </w:rPr>
            </w:pPr>
            <w:r>
              <w:rPr>
                <w:rFonts w:cstheme="minorHAnsi"/>
                <w:sz w:val="20"/>
                <w:szCs w:val="20"/>
              </w:rPr>
              <w:t>Palladium is amending the RFP to extend the closing date to August 25</w:t>
            </w:r>
            <w:r w:rsidRPr="00832871">
              <w:rPr>
                <w:rFonts w:cstheme="minorHAnsi"/>
                <w:sz w:val="20"/>
                <w:szCs w:val="20"/>
                <w:vertAlign w:val="superscript"/>
              </w:rPr>
              <w:t>th</w:t>
            </w:r>
            <w:r>
              <w:rPr>
                <w:rFonts w:cstheme="minorHAnsi"/>
                <w:sz w:val="20"/>
                <w:szCs w:val="20"/>
              </w:rPr>
              <w:t xml:space="preserve">, </w:t>
            </w:r>
            <w:r w:rsidR="00A47C44">
              <w:rPr>
                <w:rFonts w:cstheme="minorHAnsi"/>
                <w:sz w:val="20"/>
                <w:szCs w:val="20"/>
              </w:rPr>
              <w:t>2023,</w:t>
            </w:r>
            <w:r>
              <w:rPr>
                <w:rFonts w:cstheme="minorHAnsi"/>
                <w:sz w:val="20"/>
                <w:szCs w:val="20"/>
              </w:rPr>
              <w:t xml:space="preserve"> at 5PM EDT.</w:t>
            </w:r>
          </w:p>
          <w:p w14:paraId="7E5E7E59" w14:textId="7186D98D" w:rsidR="00832871" w:rsidRDefault="00832871" w:rsidP="00931553">
            <w:pPr>
              <w:rPr>
                <w:rFonts w:cstheme="minorHAnsi"/>
                <w:sz w:val="20"/>
                <w:szCs w:val="20"/>
              </w:rPr>
            </w:pPr>
          </w:p>
        </w:tc>
      </w:tr>
      <w:tr w:rsidR="00832871" w:rsidRPr="0057573E" w14:paraId="40029A1E" w14:textId="77777777" w:rsidTr="00B81C0D">
        <w:trPr>
          <w:trHeight w:val="20"/>
        </w:trPr>
        <w:tc>
          <w:tcPr>
            <w:tcW w:w="494" w:type="dxa"/>
          </w:tcPr>
          <w:p w14:paraId="6B8C271D" w14:textId="1848B192" w:rsidR="00832871" w:rsidRDefault="00832871" w:rsidP="003A7020">
            <w:pPr>
              <w:rPr>
                <w:rFonts w:cstheme="minorHAnsi"/>
                <w:sz w:val="20"/>
                <w:szCs w:val="20"/>
              </w:rPr>
            </w:pPr>
            <w:r>
              <w:rPr>
                <w:rFonts w:cstheme="minorHAnsi"/>
                <w:sz w:val="20"/>
                <w:szCs w:val="20"/>
              </w:rPr>
              <w:t>13</w:t>
            </w:r>
          </w:p>
        </w:tc>
        <w:tc>
          <w:tcPr>
            <w:tcW w:w="4608" w:type="dxa"/>
          </w:tcPr>
          <w:p w14:paraId="1D7C3460" w14:textId="012C4A15" w:rsidR="00832871" w:rsidRPr="00203C7F" w:rsidRDefault="4908B846" w:rsidP="00F243E2">
            <w:pPr>
              <w:spacing w:before="100" w:beforeAutospacing="1" w:after="100" w:afterAutospacing="1"/>
              <w:rPr>
                <w:rFonts w:cstheme="minorHAnsi"/>
                <w:sz w:val="20"/>
                <w:szCs w:val="20"/>
              </w:rPr>
            </w:pPr>
            <w:r w:rsidRPr="00203C7F">
              <w:rPr>
                <w:rFonts w:eastAsia="Calibri" w:cstheme="minorHAnsi"/>
                <w:color w:val="000000" w:themeColor="text2"/>
                <w:sz w:val="20"/>
                <w:szCs w:val="20"/>
              </w:rPr>
              <w:t xml:space="preserve">We kindly request the budget template to enable us </w:t>
            </w:r>
            <w:proofErr w:type="gramStart"/>
            <w:r w:rsidRPr="00203C7F">
              <w:rPr>
                <w:rFonts w:eastAsia="Calibri" w:cstheme="minorHAnsi"/>
                <w:color w:val="000000" w:themeColor="text2"/>
                <w:sz w:val="20"/>
                <w:szCs w:val="20"/>
              </w:rPr>
              <w:t>respond</w:t>
            </w:r>
            <w:proofErr w:type="gramEnd"/>
            <w:r w:rsidRPr="00203C7F">
              <w:rPr>
                <w:rFonts w:eastAsia="Calibri" w:cstheme="minorHAnsi"/>
                <w:color w:val="000000" w:themeColor="text2"/>
                <w:sz w:val="20"/>
                <w:szCs w:val="20"/>
              </w:rPr>
              <w:t xml:space="preserve"> to the above RFP.</w:t>
            </w:r>
          </w:p>
          <w:p w14:paraId="7AC568FC" w14:textId="77777777" w:rsidR="00832871" w:rsidRPr="00B81C0D" w:rsidRDefault="00832871" w:rsidP="00F243E2">
            <w:pPr>
              <w:spacing w:before="100" w:beforeAutospacing="1" w:after="100" w:afterAutospacing="1"/>
              <w:rPr>
                <w:rFonts w:eastAsia="Times New Roman"/>
                <w:color w:val="000000"/>
                <w:sz w:val="20"/>
                <w:szCs w:val="20"/>
              </w:rPr>
            </w:pPr>
          </w:p>
        </w:tc>
        <w:tc>
          <w:tcPr>
            <w:tcW w:w="4608" w:type="dxa"/>
          </w:tcPr>
          <w:p w14:paraId="025989A8" w14:textId="247DF663" w:rsidR="00832871" w:rsidRDefault="00203C7F" w:rsidP="00931553">
            <w:pPr>
              <w:rPr>
                <w:rFonts w:cstheme="minorHAnsi"/>
                <w:sz w:val="20"/>
                <w:szCs w:val="20"/>
              </w:rPr>
            </w:pPr>
            <w:r>
              <w:rPr>
                <w:rFonts w:cstheme="minorHAnsi"/>
                <w:sz w:val="20"/>
                <w:szCs w:val="20"/>
              </w:rPr>
              <w:t>The CATALYZE budget template is uploaded to the CATALYZE Procurements opportunities page as part of the amendment to this RFP.</w:t>
            </w:r>
          </w:p>
        </w:tc>
      </w:tr>
    </w:tbl>
    <w:p w14:paraId="69AAFE8D" w14:textId="77777777" w:rsidR="00FB2862" w:rsidRPr="0057573E" w:rsidRDefault="00FB2862" w:rsidP="003A7020">
      <w:pPr>
        <w:rPr>
          <w:rFonts w:cstheme="minorHAnsi"/>
          <w:sz w:val="20"/>
          <w:szCs w:val="20"/>
        </w:rPr>
      </w:pPr>
    </w:p>
    <w:p w14:paraId="532221C0" w14:textId="77777777" w:rsidR="00505CFD" w:rsidRPr="0057573E" w:rsidRDefault="00505CFD" w:rsidP="000C5CD7">
      <w:pPr>
        <w:rPr>
          <w:rFonts w:cstheme="minorHAnsi"/>
          <w:sz w:val="20"/>
          <w:szCs w:val="20"/>
        </w:rPr>
      </w:pPr>
    </w:p>
    <w:sectPr w:rsidR="00505CFD" w:rsidRPr="0057573E"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2D72" w14:textId="77777777" w:rsidR="003F3024" w:rsidRDefault="003F3024" w:rsidP="00AD0C8A">
      <w:r>
        <w:separator/>
      </w:r>
    </w:p>
    <w:p w14:paraId="30BE43D5" w14:textId="77777777" w:rsidR="003F3024" w:rsidRDefault="003F3024"/>
  </w:endnote>
  <w:endnote w:type="continuationSeparator" w:id="0">
    <w:p w14:paraId="59D7DD5C" w14:textId="77777777" w:rsidR="003F3024" w:rsidRDefault="003F3024" w:rsidP="00AD0C8A">
      <w:r>
        <w:continuationSeparator/>
      </w:r>
    </w:p>
    <w:p w14:paraId="4953F0E8" w14:textId="77777777" w:rsidR="003F3024" w:rsidRDefault="003F3024"/>
  </w:endnote>
  <w:endnote w:type="continuationNotice" w:id="1">
    <w:p w14:paraId="283129B4" w14:textId="77777777" w:rsidR="003F3024" w:rsidRDefault="003F3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B475" w14:textId="7461813B" w:rsidR="003434F7" w:rsidRDefault="008277E5"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58472B">
          <w:t xml:space="preserve">     </w:t>
        </w:r>
      </w:sdtContent>
    </w:sdt>
    <w:r w:rsidR="00C97B2A">
      <w:tab/>
    </w:r>
    <w:sdt>
      <w:sdtPr>
        <w:rPr>
          <w:color w:val="2B579A"/>
          <w:shd w:val="clear" w:color="auto" w:fill="E6E6E6"/>
        </w:rPr>
        <w:id w:val="-519702270"/>
        <w:docPartObj>
          <w:docPartGallery w:val="Page Numbers (Bottom of Page)"/>
          <w:docPartUnique/>
        </w:docPartObj>
      </w:sdtPr>
      <w:sdtEndPr>
        <w:rPr>
          <w:rStyle w:val="PagenumberChar"/>
          <w:color w:val="9D9FA2"/>
          <w:shd w:val="clear" w:color="auto" w:fill="auto"/>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60F1" w14:textId="49BB9A8E" w:rsidR="001E4C46" w:rsidRPr="001E4C46" w:rsidRDefault="008277E5"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58472B">
          <w:t xml:space="preserve">     </w:t>
        </w:r>
      </w:sdtContent>
    </w:sdt>
    <w:r w:rsidR="001E4C46">
      <w:tab/>
    </w:r>
    <w:sdt>
      <w:sdtPr>
        <w:rPr>
          <w:color w:val="2B579A"/>
          <w:shd w:val="clear" w:color="auto" w:fill="E6E6E6"/>
        </w:rPr>
        <w:id w:val="-1532725237"/>
        <w:docPartObj>
          <w:docPartGallery w:val="Page Numbers (Bottom of Page)"/>
          <w:docPartUnique/>
        </w:docPartObj>
      </w:sdtPr>
      <w:sdtEndPr>
        <w:rPr>
          <w:rStyle w:val="PagenumberChar"/>
          <w:color w:val="9D9FA2"/>
          <w:shd w:val="clear" w:color="auto" w:fill="auto"/>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ADF6" w14:textId="77777777" w:rsidR="003F3024" w:rsidRDefault="003F3024" w:rsidP="00AD0C8A">
      <w:r>
        <w:separator/>
      </w:r>
    </w:p>
    <w:p w14:paraId="036D6B45" w14:textId="77777777" w:rsidR="003F3024" w:rsidRDefault="003F3024"/>
  </w:footnote>
  <w:footnote w:type="continuationSeparator" w:id="0">
    <w:p w14:paraId="2D42FB64" w14:textId="77777777" w:rsidR="003F3024" w:rsidRDefault="003F3024" w:rsidP="00AD0C8A">
      <w:r>
        <w:continuationSeparator/>
      </w:r>
    </w:p>
    <w:p w14:paraId="7DB300AB" w14:textId="77777777" w:rsidR="003F3024" w:rsidRDefault="003F3024"/>
  </w:footnote>
  <w:footnote w:type="continuationNotice" w:id="1">
    <w:p w14:paraId="0BC88959" w14:textId="77777777" w:rsidR="003F3024" w:rsidRDefault="003F3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2AAB" w14:textId="77777777" w:rsidR="00A90DE2" w:rsidRDefault="0006416B" w:rsidP="0006416B">
    <w:pPr>
      <w:spacing w:line="120" w:lineRule="auto"/>
    </w:pPr>
    <w:r>
      <w:rPr>
        <w:noProof/>
        <w:color w:val="2B579A"/>
        <w:shd w:val="clear" w:color="auto" w:fill="E6E6E6"/>
        <w:lang w:val="en-AU" w:eastAsia="en-AU"/>
      </w:rPr>
      <w:drawing>
        <wp:anchor distT="0" distB="0" distL="114300" distR="114300" simplePos="0" relativeHeight="251658240" behindDoc="1" locked="0" layoutInCell="1" allowOverlap="1" wp14:anchorId="05E60690" wp14:editId="64966DB2">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Bullet-one"/>
      </v:shape>
    </w:pict>
  </w:numPicBullet>
  <w:numPicBullet w:numPicBulletId="1">
    <w:pict>
      <v:shape id="_x0000_i1029" type="#_x0000_t75" style="width:10pt;height:10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C404EE"/>
    <w:multiLevelType w:val="multilevel"/>
    <w:tmpl w:val="A5A2A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3"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5" w15:restartNumberingAfterBreak="0">
    <w:nsid w:val="6F93376A"/>
    <w:multiLevelType w:val="multilevel"/>
    <w:tmpl w:val="35E84FBA"/>
    <w:numStyleLink w:val="HeadList4"/>
  </w:abstractNum>
  <w:abstractNum w:abstractNumId="2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EB316D"/>
    <w:multiLevelType w:val="multilevel"/>
    <w:tmpl w:val="AEB25142"/>
    <w:numStyleLink w:val="Style2"/>
  </w:abstractNum>
  <w:num w:numId="1" w16cid:durableId="279410357">
    <w:abstractNumId w:val="15"/>
  </w:num>
  <w:num w:numId="2" w16cid:durableId="1998028284">
    <w:abstractNumId w:val="14"/>
  </w:num>
  <w:num w:numId="3" w16cid:durableId="1363942805">
    <w:abstractNumId w:val="20"/>
  </w:num>
  <w:num w:numId="4" w16cid:durableId="1334920569">
    <w:abstractNumId w:val="9"/>
  </w:num>
  <w:num w:numId="5" w16cid:durableId="1012411028">
    <w:abstractNumId w:val="24"/>
  </w:num>
  <w:num w:numId="6" w16cid:durableId="1306398505">
    <w:abstractNumId w:val="5"/>
  </w:num>
  <w:num w:numId="7" w16cid:durableId="786586674">
    <w:abstractNumId w:val="28"/>
  </w:num>
  <w:num w:numId="8" w16cid:durableId="1505393126">
    <w:abstractNumId w:val="3"/>
  </w:num>
  <w:num w:numId="9" w16cid:durableId="399252997">
    <w:abstractNumId w:val="13"/>
  </w:num>
  <w:num w:numId="10" w16cid:durableId="1724983322">
    <w:abstractNumId w:val="11"/>
  </w:num>
  <w:num w:numId="11" w16cid:durableId="219752743">
    <w:abstractNumId w:val="8"/>
  </w:num>
  <w:num w:numId="12" w16cid:durableId="1064911633">
    <w:abstractNumId w:val="18"/>
  </w:num>
  <w:num w:numId="13" w16cid:durableId="124011904">
    <w:abstractNumId w:val="16"/>
  </w:num>
  <w:num w:numId="14" w16cid:durableId="890532074">
    <w:abstractNumId w:val="17"/>
  </w:num>
  <w:num w:numId="15" w16cid:durableId="964048275">
    <w:abstractNumId w:val="22"/>
  </w:num>
  <w:num w:numId="16" w16cid:durableId="1807042768">
    <w:abstractNumId w:val="6"/>
  </w:num>
  <w:num w:numId="17" w16cid:durableId="1634555354">
    <w:abstractNumId w:val="7"/>
  </w:num>
  <w:num w:numId="18" w16cid:durableId="1890343123">
    <w:abstractNumId w:val="26"/>
  </w:num>
  <w:num w:numId="19" w16cid:durableId="1076706098">
    <w:abstractNumId w:val="12"/>
  </w:num>
  <w:num w:numId="20" w16cid:durableId="1238974028">
    <w:abstractNumId w:val="0"/>
  </w:num>
  <w:num w:numId="21" w16cid:durableId="2082634320">
    <w:abstractNumId w:val="2"/>
  </w:num>
  <w:num w:numId="22" w16cid:durableId="152766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1349933">
    <w:abstractNumId w:val="23"/>
  </w:num>
  <w:num w:numId="24" w16cid:durableId="1690831378">
    <w:abstractNumId w:val="4"/>
  </w:num>
  <w:num w:numId="25" w16cid:durableId="751004783">
    <w:abstractNumId w:val="25"/>
  </w:num>
  <w:num w:numId="26" w16cid:durableId="844787715">
    <w:abstractNumId w:val="29"/>
  </w:num>
  <w:num w:numId="27" w16cid:durableId="317805678">
    <w:abstractNumId w:val="1"/>
  </w:num>
  <w:num w:numId="28" w16cid:durableId="897134754">
    <w:abstractNumId w:val="10"/>
  </w:num>
  <w:num w:numId="29" w16cid:durableId="164906103">
    <w:abstractNumId w:val="19"/>
  </w:num>
  <w:num w:numId="30" w16cid:durableId="99104173">
    <w:abstractNumId w:val="27"/>
  </w:num>
  <w:num w:numId="31" w16cid:durableId="191655086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20"/>
    <w:rsid w:val="00001D3B"/>
    <w:rsid w:val="00002671"/>
    <w:rsid w:val="00004250"/>
    <w:rsid w:val="0000567C"/>
    <w:rsid w:val="000064C5"/>
    <w:rsid w:val="00012917"/>
    <w:rsid w:val="000239CF"/>
    <w:rsid w:val="000244A6"/>
    <w:rsid w:val="000317DB"/>
    <w:rsid w:val="00042C73"/>
    <w:rsid w:val="00044279"/>
    <w:rsid w:val="00054963"/>
    <w:rsid w:val="0006416B"/>
    <w:rsid w:val="00071AC6"/>
    <w:rsid w:val="000B70F6"/>
    <w:rsid w:val="000C5CD7"/>
    <w:rsid w:val="00107612"/>
    <w:rsid w:val="001076BC"/>
    <w:rsid w:val="00120C69"/>
    <w:rsid w:val="00122C19"/>
    <w:rsid w:val="00131375"/>
    <w:rsid w:val="00131688"/>
    <w:rsid w:val="00142AAF"/>
    <w:rsid w:val="00146A50"/>
    <w:rsid w:val="001476B9"/>
    <w:rsid w:val="0015140B"/>
    <w:rsid w:val="001656B0"/>
    <w:rsid w:val="001921DB"/>
    <w:rsid w:val="00194667"/>
    <w:rsid w:val="00195125"/>
    <w:rsid w:val="00196A76"/>
    <w:rsid w:val="001A1449"/>
    <w:rsid w:val="001A44E0"/>
    <w:rsid w:val="001B1396"/>
    <w:rsid w:val="001B3BA4"/>
    <w:rsid w:val="001C5A03"/>
    <w:rsid w:val="001C78CA"/>
    <w:rsid w:val="001E4C46"/>
    <w:rsid w:val="001E71F4"/>
    <w:rsid w:val="0020019F"/>
    <w:rsid w:val="00200EF5"/>
    <w:rsid w:val="00203C7F"/>
    <w:rsid w:val="00214EBE"/>
    <w:rsid w:val="002769E2"/>
    <w:rsid w:val="00277E6F"/>
    <w:rsid w:val="00281910"/>
    <w:rsid w:val="002915AE"/>
    <w:rsid w:val="002B594D"/>
    <w:rsid w:val="002B5F23"/>
    <w:rsid w:val="002B717D"/>
    <w:rsid w:val="002D7A0C"/>
    <w:rsid w:val="002E1E06"/>
    <w:rsid w:val="002E5399"/>
    <w:rsid w:val="00306A0D"/>
    <w:rsid w:val="00311602"/>
    <w:rsid w:val="00325153"/>
    <w:rsid w:val="00325F30"/>
    <w:rsid w:val="003373C8"/>
    <w:rsid w:val="003434F7"/>
    <w:rsid w:val="00393B10"/>
    <w:rsid w:val="003967A8"/>
    <w:rsid w:val="003A0DA0"/>
    <w:rsid w:val="003A2937"/>
    <w:rsid w:val="003A3C9A"/>
    <w:rsid w:val="003A7020"/>
    <w:rsid w:val="003B165C"/>
    <w:rsid w:val="003C00B1"/>
    <w:rsid w:val="003D743A"/>
    <w:rsid w:val="003F2BB3"/>
    <w:rsid w:val="003F3024"/>
    <w:rsid w:val="00410A4E"/>
    <w:rsid w:val="00413968"/>
    <w:rsid w:val="004216E6"/>
    <w:rsid w:val="0043213A"/>
    <w:rsid w:val="00433154"/>
    <w:rsid w:val="0044124A"/>
    <w:rsid w:val="00447C9C"/>
    <w:rsid w:val="00450E3E"/>
    <w:rsid w:val="004537E9"/>
    <w:rsid w:val="004572CA"/>
    <w:rsid w:val="00457D27"/>
    <w:rsid w:val="00464AB2"/>
    <w:rsid w:val="004839B4"/>
    <w:rsid w:val="004961B5"/>
    <w:rsid w:val="004A4B44"/>
    <w:rsid w:val="004B2904"/>
    <w:rsid w:val="004B3C68"/>
    <w:rsid w:val="004B504F"/>
    <w:rsid w:val="004B5992"/>
    <w:rsid w:val="004D131A"/>
    <w:rsid w:val="004E21C5"/>
    <w:rsid w:val="004E7355"/>
    <w:rsid w:val="004F2889"/>
    <w:rsid w:val="0050109E"/>
    <w:rsid w:val="005048E2"/>
    <w:rsid w:val="00505CFD"/>
    <w:rsid w:val="00515549"/>
    <w:rsid w:val="0051655B"/>
    <w:rsid w:val="0052661B"/>
    <w:rsid w:val="0052788C"/>
    <w:rsid w:val="00527F04"/>
    <w:rsid w:val="00543C91"/>
    <w:rsid w:val="00560D76"/>
    <w:rsid w:val="00566593"/>
    <w:rsid w:val="0057335C"/>
    <w:rsid w:val="0057573E"/>
    <w:rsid w:val="005777F8"/>
    <w:rsid w:val="005814A7"/>
    <w:rsid w:val="0058472B"/>
    <w:rsid w:val="005857A7"/>
    <w:rsid w:val="005A5E49"/>
    <w:rsid w:val="005A71B1"/>
    <w:rsid w:val="005D253B"/>
    <w:rsid w:val="005E5949"/>
    <w:rsid w:val="005E76BA"/>
    <w:rsid w:val="005E7F8E"/>
    <w:rsid w:val="005F749A"/>
    <w:rsid w:val="00606EE0"/>
    <w:rsid w:val="0060784B"/>
    <w:rsid w:val="00611264"/>
    <w:rsid w:val="006129B5"/>
    <w:rsid w:val="00623F99"/>
    <w:rsid w:val="00641E1F"/>
    <w:rsid w:val="00664FB3"/>
    <w:rsid w:val="00671588"/>
    <w:rsid w:val="00690273"/>
    <w:rsid w:val="006956B7"/>
    <w:rsid w:val="006A5789"/>
    <w:rsid w:val="006A7A4C"/>
    <w:rsid w:val="006B48C5"/>
    <w:rsid w:val="006B6617"/>
    <w:rsid w:val="006B740E"/>
    <w:rsid w:val="006C37DF"/>
    <w:rsid w:val="006C5B53"/>
    <w:rsid w:val="006E14BE"/>
    <w:rsid w:val="006E4E9D"/>
    <w:rsid w:val="006E7401"/>
    <w:rsid w:val="006F48B6"/>
    <w:rsid w:val="007003DA"/>
    <w:rsid w:val="007024C7"/>
    <w:rsid w:val="00704385"/>
    <w:rsid w:val="00707C02"/>
    <w:rsid w:val="0071155B"/>
    <w:rsid w:val="00736434"/>
    <w:rsid w:val="0074746F"/>
    <w:rsid w:val="00756072"/>
    <w:rsid w:val="0076036A"/>
    <w:rsid w:val="00769827"/>
    <w:rsid w:val="0077139F"/>
    <w:rsid w:val="00771EE8"/>
    <w:rsid w:val="007723AC"/>
    <w:rsid w:val="007871F8"/>
    <w:rsid w:val="00790F3D"/>
    <w:rsid w:val="007C6836"/>
    <w:rsid w:val="007D13ED"/>
    <w:rsid w:val="00814B87"/>
    <w:rsid w:val="008205D5"/>
    <w:rsid w:val="00824066"/>
    <w:rsid w:val="008277E5"/>
    <w:rsid w:val="00832871"/>
    <w:rsid w:val="00833B8B"/>
    <w:rsid w:val="00837062"/>
    <w:rsid w:val="008516B2"/>
    <w:rsid w:val="00877F90"/>
    <w:rsid w:val="0088266A"/>
    <w:rsid w:val="00884F57"/>
    <w:rsid w:val="00890D6D"/>
    <w:rsid w:val="008D7D13"/>
    <w:rsid w:val="008E297B"/>
    <w:rsid w:val="008E7195"/>
    <w:rsid w:val="008F4A17"/>
    <w:rsid w:val="00901ED8"/>
    <w:rsid w:val="00906C50"/>
    <w:rsid w:val="00912A7F"/>
    <w:rsid w:val="00920ADA"/>
    <w:rsid w:val="00922107"/>
    <w:rsid w:val="0093014F"/>
    <w:rsid w:val="00931553"/>
    <w:rsid w:val="00931A0B"/>
    <w:rsid w:val="00931A69"/>
    <w:rsid w:val="009439EE"/>
    <w:rsid w:val="009443BF"/>
    <w:rsid w:val="009513BC"/>
    <w:rsid w:val="00953405"/>
    <w:rsid w:val="009631C7"/>
    <w:rsid w:val="00966476"/>
    <w:rsid w:val="00972216"/>
    <w:rsid w:val="0097285D"/>
    <w:rsid w:val="00973610"/>
    <w:rsid w:val="00976A62"/>
    <w:rsid w:val="00994965"/>
    <w:rsid w:val="009A61BC"/>
    <w:rsid w:val="009B0D3F"/>
    <w:rsid w:val="009B2A94"/>
    <w:rsid w:val="009C472F"/>
    <w:rsid w:val="009D39A7"/>
    <w:rsid w:val="009F35AF"/>
    <w:rsid w:val="00A04C5B"/>
    <w:rsid w:val="00A13226"/>
    <w:rsid w:val="00A4554A"/>
    <w:rsid w:val="00A47C44"/>
    <w:rsid w:val="00A53E9A"/>
    <w:rsid w:val="00A551F7"/>
    <w:rsid w:val="00A64F05"/>
    <w:rsid w:val="00A825B4"/>
    <w:rsid w:val="00A90DE2"/>
    <w:rsid w:val="00AA3108"/>
    <w:rsid w:val="00AB366D"/>
    <w:rsid w:val="00AD0C8A"/>
    <w:rsid w:val="00AD3DA3"/>
    <w:rsid w:val="00B10480"/>
    <w:rsid w:val="00B27626"/>
    <w:rsid w:val="00B37AAD"/>
    <w:rsid w:val="00B42BA4"/>
    <w:rsid w:val="00B44180"/>
    <w:rsid w:val="00B62A9A"/>
    <w:rsid w:val="00B81C0D"/>
    <w:rsid w:val="00B823F5"/>
    <w:rsid w:val="00B8490B"/>
    <w:rsid w:val="00B8789D"/>
    <w:rsid w:val="00BA398E"/>
    <w:rsid w:val="00BA5AC2"/>
    <w:rsid w:val="00BA5B88"/>
    <w:rsid w:val="00BA6DD8"/>
    <w:rsid w:val="00BB5B2F"/>
    <w:rsid w:val="00BB6983"/>
    <w:rsid w:val="00C11100"/>
    <w:rsid w:val="00C139F7"/>
    <w:rsid w:val="00C252EE"/>
    <w:rsid w:val="00C25BE7"/>
    <w:rsid w:val="00C47901"/>
    <w:rsid w:val="00C5279C"/>
    <w:rsid w:val="00C71CC7"/>
    <w:rsid w:val="00C848A3"/>
    <w:rsid w:val="00C97B2A"/>
    <w:rsid w:val="00CA0B60"/>
    <w:rsid w:val="00CB5165"/>
    <w:rsid w:val="00CD5684"/>
    <w:rsid w:val="00CD5751"/>
    <w:rsid w:val="00CF3449"/>
    <w:rsid w:val="00D0380D"/>
    <w:rsid w:val="00D03D45"/>
    <w:rsid w:val="00D253AD"/>
    <w:rsid w:val="00D27774"/>
    <w:rsid w:val="00D30C3E"/>
    <w:rsid w:val="00D3703B"/>
    <w:rsid w:val="00D4198D"/>
    <w:rsid w:val="00D42664"/>
    <w:rsid w:val="00D515E7"/>
    <w:rsid w:val="00D71205"/>
    <w:rsid w:val="00D8204A"/>
    <w:rsid w:val="00D915AB"/>
    <w:rsid w:val="00DB064E"/>
    <w:rsid w:val="00DC5D43"/>
    <w:rsid w:val="00DD2203"/>
    <w:rsid w:val="00DD7E0C"/>
    <w:rsid w:val="00DE4EF4"/>
    <w:rsid w:val="00DE6ACC"/>
    <w:rsid w:val="00DF2946"/>
    <w:rsid w:val="00DF6A86"/>
    <w:rsid w:val="00E04271"/>
    <w:rsid w:val="00E1198E"/>
    <w:rsid w:val="00E20009"/>
    <w:rsid w:val="00E21EF8"/>
    <w:rsid w:val="00E439C2"/>
    <w:rsid w:val="00E52886"/>
    <w:rsid w:val="00E63265"/>
    <w:rsid w:val="00E7422D"/>
    <w:rsid w:val="00E87C20"/>
    <w:rsid w:val="00E90D7B"/>
    <w:rsid w:val="00E947A3"/>
    <w:rsid w:val="00EA5CE8"/>
    <w:rsid w:val="00EA5D8A"/>
    <w:rsid w:val="00EB2122"/>
    <w:rsid w:val="00EB35CF"/>
    <w:rsid w:val="00EC4E53"/>
    <w:rsid w:val="00ED1D3E"/>
    <w:rsid w:val="00EE3F12"/>
    <w:rsid w:val="00EE502F"/>
    <w:rsid w:val="00F042E1"/>
    <w:rsid w:val="00F216C6"/>
    <w:rsid w:val="00F243E2"/>
    <w:rsid w:val="00F24407"/>
    <w:rsid w:val="00F25783"/>
    <w:rsid w:val="00F26291"/>
    <w:rsid w:val="00F30B3E"/>
    <w:rsid w:val="00F316E9"/>
    <w:rsid w:val="00F35E0F"/>
    <w:rsid w:val="00F572C9"/>
    <w:rsid w:val="00F71594"/>
    <w:rsid w:val="00F73FD5"/>
    <w:rsid w:val="00F86DD4"/>
    <w:rsid w:val="00FA4EC8"/>
    <w:rsid w:val="00FA7FA8"/>
    <w:rsid w:val="00FB2862"/>
    <w:rsid w:val="00FC01B1"/>
    <w:rsid w:val="00FC4258"/>
    <w:rsid w:val="00FD07A2"/>
    <w:rsid w:val="00FD3BA2"/>
    <w:rsid w:val="00FE718D"/>
    <w:rsid w:val="00FF018E"/>
    <w:rsid w:val="020E07D2"/>
    <w:rsid w:val="022B90E5"/>
    <w:rsid w:val="02822C20"/>
    <w:rsid w:val="0305F9D2"/>
    <w:rsid w:val="052AB032"/>
    <w:rsid w:val="05B6BC23"/>
    <w:rsid w:val="07484011"/>
    <w:rsid w:val="08492897"/>
    <w:rsid w:val="1241B4AF"/>
    <w:rsid w:val="153158BA"/>
    <w:rsid w:val="17F1E50F"/>
    <w:rsid w:val="1804A5E6"/>
    <w:rsid w:val="1947C8CA"/>
    <w:rsid w:val="1D9B80D1"/>
    <w:rsid w:val="1DE0016C"/>
    <w:rsid w:val="1E1B39ED"/>
    <w:rsid w:val="20DA4791"/>
    <w:rsid w:val="22EEAB10"/>
    <w:rsid w:val="23C4E4F0"/>
    <w:rsid w:val="25C6496A"/>
    <w:rsid w:val="2745C104"/>
    <w:rsid w:val="2985FD99"/>
    <w:rsid w:val="29CF16BC"/>
    <w:rsid w:val="2AAD2E34"/>
    <w:rsid w:val="2BD4578B"/>
    <w:rsid w:val="2D37A677"/>
    <w:rsid w:val="2D50CED4"/>
    <w:rsid w:val="33544D9D"/>
    <w:rsid w:val="33A6E7FB"/>
    <w:rsid w:val="33DF6970"/>
    <w:rsid w:val="370120CA"/>
    <w:rsid w:val="38BAC819"/>
    <w:rsid w:val="3A16297F"/>
    <w:rsid w:val="3AB9DB3B"/>
    <w:rsid w:val="3BF268DB"/>
    <w:rsid w:val="3D4DCA41"/>
    <w:rsid w:val="3D8E393C"/>
    <w:rsid w:val="3F221C17"/>
    <w:rsid w:val="4286E331"/>
    <w:rsid w:val="42FBD5FA"/>
    <w:rsid w:val="4314FE57"/>
    <w:rsid w:val="447E2C2F"/>
    <w:rsid w:val="4497A65B"/>
    <w:rsid w:val="46B282B7"/>
    <w:rsid w:val="4801A479"/>
    <w:rsid w:val="4908B846"/>
    <w:rsid w:val="4A6CBC44"/>
    <w:rsid w:val="4A97F147"/>
    <w:rsid w:val="4AA98408"/>
    <w:rsid w:val="4C4C54A4"/>
    <w:rsid w:val="4D7F1AE9"/>
    <w:rsid w:val="4E697541"/>
    <w:rsid w:val="51861374"/>
    <w:rsid w:val="51AEAAD8"/>
    <w:rsid w:val="534A7B39"/>
    <w:rsid w:val="54ADCA25"/>
    <w:rsid w:val="568D6285"/>
    <w:rsid w:val="58164C92"/>
    <w:rsid w:val="58A78065"/>
    <w:rsid w:val="599A7B31"/>
    <w:rsid w:val="59A1AB8F"/>
    <w:rsid w:val="5B445247"/>
    <w:rsid w:val="5C760828"/>
    <w:rsid w:val="5CC0C990"/>
    <w:rsid w:val="5CFD1443"/>
    <w:rsid w:val="601362B4"/>
    <w:rsid w:val="6B8416E0"/>
    <w:rsid w:val="6E06FB00"/>
    <w:rsid w:val="6F1C6958"/>
    <w:rsid w:val="7121AA27"/>
    <w:rsid w:val="7174B43C"/>
    <w:rsid w:val="75F51B4A"/>
    <w:rsid w:val="77736298"/>
    <w:rsid w:val="77990359"/>
    <w:rsid w:val="78F43A97"/>
    <w:rsid w:val="7A207EFF"/>
    <w:rsid w:val="7AAB035A"/>
    <w:rsid w:val="7CBC7AFC"/>
    <w:rsid w:val="7CFE3E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32EE7E49"/>
  <w15:chartTrackingRefBased/>
  <w15:docId w15:val="{D0921810-F200-4C48-857A-A9279B6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020"/>
    <w:pPr>
      <w:spacing w:before="0" w:after="0" w:line="240" w:lineRule="auto"/>
    </w:pPr>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outlineLvl w:val="2"/>
    </w:pPr>
    <w:rPr>
      <w:rFonts w:asciiTheme="majorHAnsi" w:eastAsiaTheme="majorEastAsia" w:hAnsiTheme="majorHAnsi" w:cstheme="majorBidi"/>
      <w:color w:val="02606E" w:themeColor="accent1" w:themeShade="7F"/>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pPr>
  </w:style>
  <w:style w:type="paragraph" w:styleId="BalloonText">
    <w:name w:val="Balloon Text"/>
    <w:basedOn w:val="Normal"/>
    <w:link w:val="BalloonTextChar"/>
    <w:uiPriority w:val="99"/>
    <w:semiHidden/>
    <w:unhideWhenUsed/>
    <w:rsid w:val="00AD0C8A"/>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B2862"/>
    <w:rPr>
      <w:color w:val="605E5C"/>
      <w:shd w:val="clear" w:color="auto" w:fill="E1DFDD"/>
    </w:rPr>
  </w:style>
  <w:style w:type="character" w:styleId="CommentReference">
    <w:name w:val="annotation reference"/>
    <w:basedOn w:val="DefaultParagraphFont"/>
    <w:uiPriority w:val="99"/>
    <w:semiHidden/>
    <w:unhideWhenUsed/>
    <w:rsid w:val="0077139F"/>
    <w:rPr>
      <w:sz w:val="16"/>
      <w:szCs w:val="16"/>
    </w:rPr>
  </w:style>
  <w:style w:type="paragraph" w:styleId="CommentText">
    <w:name w:val="annotation text"/>
    <w:basedOn w:val="Normal"/>
    <w:link w:val="CommentTextChar"/>
    <w:uiPriority w:val="99"/>
    <w:unhideWhenUsed/>
    <w:rsid w:val="0077139F"/>
    <w:rPr>
      <w:sz w:val="20"/>
      <w:szCs w:val="20"/>
    </w:rPr>
  </w:style>
  <w:style w:type="character" w:customStyle="1" w:styleId="CommentTextChar">
    <w:name w:val="Comment Text Char"/>
    <w:basedOn w:val="DefaultParagraphFont"/>
    <w:link w:val="CommentText"/>
    <w:uiPriority w:val="99"/>
    <w:rsid w:val="0077139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77139F"/>
    <w:rPr>
      <w:b/>
      <w:bCs/>
    </w:rPr>
  </w:style>
  <w:style w:type="character" w:customStyle="1" w:styleId="CommentSubjectChar">
    <w:name w:val="Comment Subject Char"/>
    <w:basedOn w:val="CommentTextChar"/>
    <w:link w:val="CommentSubject"/>
    <w:uiPriority w:val="99"/>
    <w:semiHidden/>
    <w:rsid w:val="0077139F"/>
    <w:rPr>
      <w:rFonts w:asciiTheme="minorHAnsi" w:eastAsiaTheme="minorHAnsi" w:hAnsiTheme="minorHAnsi" w:cstheme="minorBidi"/>
      <w:b/>
      <w:bCs/>
      <w:lang w:val="en-US" w:eastAsia="en-US"/>
    </w:rPr>
  </w:style>
  <w:style w:type="character" w:styleId="Mention">
    <w:name w:val="Mention"/>
    <w:basedOn w:val="DefaultParagraphFont"/>
    <w:uiPriority w:val="99"/>
    <w:unhideWhenUsed/>
    <w:rsid w:val="004839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alyze.procurements@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16286-6AFF-4118-9B37-B873E745C53D}">
  <ds:schemaRef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330f1608-76c2-4e95-a56c-dcbc0d77f5de"/>
    <ds:schemaRef ds:uri="http://purl.org/dc/terms/"/>
    <ds:schemaRef ds:uri="http://schemas.microsoft.com/office/infopath/2007/PartnerControls"/>
    <ds:schemaRef ds:uri="cb072776-f788-448c-b714-c7f8cb34fd0a"/>
    <ds:schemaRef ds:uri="cf91b0af-a72e-4dd3-8268-94f91e472b9d"/>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0E2B4A7E-8DA3-42A1-99B0-3F74304C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83678-7A27-4B2D-AD63-6802991D6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Links>
    <vt:vector size="24" baseType="variant">
      <vt:variant>
        <vt:i4>2424927</vt:i4>
      </vt:variant>
      <vt:variant>
        <vt:i4>0</vt:i4>
      </vt:variant>
      <vt:variant>
        <vt:i4>0</vt:i4>
      </vt:variant>
      <vt:variant>
        <vt:i4>5</vt:i4>
      </vt:variant>
      <vt:variant>
        <vt:lpwstr>mailto:catalyze.procurements@thepalladiumgroup.com</vt:lpwstr>
      </vt:variant>
      <vt:variant>
        <vt:lpwstr/>
      </vt:variant>
      <vt:variant>
        <vt:i4>4653101</vt:i4>
      </vt:variant>
      <vt:variant>
        <vt:i4>6</vt:i4>
      </vt:variant>
      <vt:variant>
        <vt:i4>0</vt:i4>
      </vt:variant>
      <vt:variant>
        <vt:i4>5</vt:i4>
      </vt:variant>
      <vt:variant>
        <vt:lpwstr>mailto:joseph.disilvio@thepalladiumgroup.com</vt:lpwstr>
      </vt:variant>
      <vt:variant>
        <vt:lpwstr/>
      </vt:variant>
      <vt:variant>
        <vt:i4>3604574</vt:i4>
      </vt:variant>
      <vt:variant>
        <vt:i4>3</vt:i4>
      </vt:variant>
      <vt:variant>
        <vt:i4>0</vt:i4>
      </vt:variant>
      <vt:variant>
        <vt:i4>5</vt:i4>
      </vt:variant>
      <vt:variant>
        <vt:lpwstr>mailto:ashraf.hammad@thepalladiumgroup.com</vt:lpwstr>
      </vt:variant>
      <vt:variant>
        <vt:lpwstr/>
      </vt:variant>
      <vt:variant>
        <vt:i4>6488092</vt:i4>
      </vt:variant>
      <vt:variant>
        <vt:i4>0</vt:i4>
      </vt:variant>
      <vt:variant>
        <vt:i4>0</vt:i4>
      </vt:variant>
      <vt:variant>
        <vt:i4>5</vt:i4>
      </vt:variant>
      <vt:variant>
        <vt:lpwstr>mailto:Sonja.Schmidt@thepalladiumgroup.com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Hammad, Ashraf</dc:creator>
  <cp:keywords/>
  <dc:description/>
  <cp:lastModifiedBy>Howley, Ling</cp:lastModifiedBy>
  <cp:revision>2</cp:revision>
  <cp:lastPrinted>2015-08-07T05:56:00Z</cp:lastPrinted>
  <dcterms:created xsi:type="dcterms:W3CDTF">2023-08-16T00:00:00Z</dcterms:created>
  <dcterms:modified xsi:type="dcterms:W3CDTF">2023-08-16T00:00:00Z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